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0C" w:rsidRDefault="00CD430C" w:rsidP="00CD430C">
      <w:pPr>
        <w:rPr>
          <w:sz w:val="22"/>
          <w:szCs w:val="22"/>
          <w:lang w:val="en-IE"/>
        </w:rPr>
      </w:pPr>
      <w:r>
        <w:t>Dear First and Deputy First Minister,</w:t>
      </w:r>
    </w:p>
    <w:p w:rsidR="00CD430C" w:rsidRDefault="00CD430C" w:rsidP="00CD430C"/>
    <w:p w:rsidR="00CD430C" w:rsidRDefault="00CD430C" w:rsidP="00CD430C">
      <w:r>
        <w:t xml:space="preserve">The representative trade unions for education workers, GMB, Unite, Unison and NIPSA, have been engaging with the Departments of Education and Health as we strive to deal with this further necessary partial closure of schools. The impact on the education of the most vulnerable pupils specifically those with complex needs, their families, communities and the staff who support them is an issue that requires further urgent attention. </w:t>
      </w:r>
    </w:p>
    <w:p w:rsidR="00CD430C" w:rsidRDefault="00CD430C" w:rsidP="00CD430C"/>
    <w:p w:rsidR="00CD430C" w:rsidRDefault="00CD430C" w:rsidP="00CD430C">
      <w:r>
        <w:t>It is imperative that the focus is on creating and maintaining sustainable and safe provision for special schools and settings as they support our most vulnerable children and young people. Regardless of the intent of policy to keep special schools open, without taking purposeful steps at this stage, the reality is COVID will continue to impact on the open special schools. The risk of significant health issues up to and including the potential of fatalities remains for these school communities, especially for the unprotected pupils.</w:t>
      </w:r>
    </w:p>
    <w:p w:rsidR="00CD430C" w:rsidRDefault="00CD430C" w:rsidP="00CD430C"/>
    <w:p w:rsidR="00CD430C" w:rsidRDefault="00CD430C" w:rsidP="00CD430C">
      <w:r>
        <w:t xml:space="preserve">The announcement that special schools would remain open at a time of increased community transmission, public health restrictions and stark case numbers in schools has been met with shock, widespread anxiety and a feeling of being undervalued on the part of the workforce. Education workers appreciate the impact that the closure of schools has had on the families of children with complex needs. The valid concerns of the parents/carers have no doubt influenced the decision to deliver a directive for special schools to remain open. Already, within the first week of reopening, special schools are managing symptomatic &amp; positive cases, leading to the exact scenario which should have been avoided or at least minimized creating an unpredictability in terms of provision and an increased risk to health.  </w:t>
      </w:r>
    </w:p>
    <w:p w:rsidR="00CD430C" w:rsidRDefault="00CD430C" w:rsidP="00CD430C"/>
    <w:p w:rsidR="00CD430C" w:rsidRDefault="00CD430C" w:rsidP="00CD430C">
      <w:r>
        <w:t>Education unions have sought advice from members, working in special schools, as to how improvements in the safety and sustainability of special schools can be provided. It is clear to us the current open school provision without additional mitigation is failing the whole special school community. The message of ‘limit your contacts’ and ‘maintain social distance of 2m’ are unable to be implemented in these facilities. While class sizes may be perceived as small the complexity of needs of the pupils requires a higher number of adults than in mainstream schools.</w:t>
      </w:r>
    </w:p>
    <w:p w:rsidR="00CD430C" w:rsidRDefault="00CD430C" w:rsidP="00CD430C"/>
    <w:p w:rsidR="00CD430C" w:rsidRDefault="00CD430C" w:rsidP="00CD430C">
      <w:r>
        <w:t>Decisive action is needed now to reassure the workforce and parents that safe</w:t>
      </w:r>
      <w:r>
        <w:rPr>
          <w:color w:val="FF0000"/>
        </w:rPr>
        <w:t xml:space="preserve"> </w:t>
      </w:r>
      <w:r>
        <w:t>access to necessary/ predictable pupil and school support is being considered by the Executive and to this end the education trade unions request a review of the current policy on opening special schools.</w:t>
      </w:r>
    </w:p>
    <w:p w:rsidR="00CD430C" w:rsidRDefault="00CD430C" w:rsidP="00CD430C"/>
    <w:p w:rsidR="00CD430C" w:rsidRDefault="00CD430C" w:rsidP="00CD430C">
      <w:pPr>
        <w:spacing w:after="240"/>
      </w:pPr>
      <w:r>
        <w:t>The key points that education trade unions suggest are prioritized for consideration in such a review are:</w:t>
      </w:r>
    </w:p>
    <w:p w:rsidR="00CD430C" w:rsidRDefault="00CD430C" w:rsidP="00CD430C">
      <w:pPr>
        <w:pStyle w:val="ListParagraph"/>
        <w:numPr>
          <w:ilvl w:val="0"/>
          <w:numId w:val="1"/>
        </w:numPr>
        <w:rPr>
          <w:rFonts w:eastAsia="Times New Roman"/>
        </w:rPr>
      </w:pPr>
      <w:r>
        <w:rPr>
          <w:rFonts w:eastAsia="Times New Roman"/>
        </w:rPr>
        <w:t xml:space="preserve">Context </w:t>
      </w:r>
      <w:r>
        <w:rPr>
          <w:rFonts w:eastAsia="Times New Roman"/>
        </w:rPr>
        <w:br/>
        <w:t xml:space="preserve">The previous lockdown impacted many families of children and young people with complex needs in ways physically and emotionally that are impossible for those of us not in that situation to comprehend. They have </w:t>
      </w:r>
      <w:r>
        <w:rPr>
          <w:rFonts w:eastAsia="Times New Roman"/>
        </w:rPr>
        <w:lastRenderedPageBreak/>
        <w:t xml:space="preserve">fought for their children and family to not have to experience a lockdown and subsequent school closure again. Judicial reviews have agreed that previous lockdowns and fully withdrawn access to the support of school has had a detrimental impact. However, the courts have fallen short of seeking to ensure that where schools remained open they would be safe for the staff and pupils. </w:t>
      </w:r>
    </w:p>
    <w:p w:rsidR="00CD430C" w:rsidRDefault="00CD430C" w:rsidP="00CD430C">
      <w:pPr>
        <w:pStyle w:val="ListParagraph"/>
        <w:rPr>
          <w:rFonts w:eastAsia="Times New Roman"/>
        </w:rPr>
      </w:pPr>
    </w:p>
    <w:p w:rsidR="00CD430C" w:rsidRDefault="00CD430C" w:rsidP="00CD430C">
      <w:pPr>
        <w:pStyle w:val="ListParagraph"/>
        <w:rPr>
          <w:rFonts w:eastAsia="Times New Roman"/>
        </w:rPr>
      </w:pPr>
      <w:r>
        <w:rPr>
          <w:rFonts w:eastAsia="Times New Roman"/>
        </w:rPr>
        <w:t xml:space="preserve">The current policy of the Executive and Department of Education has been written in response to legal and parental pressure. Education trade unions are of the view that the policy needs to more completely reflect the inherent risks of educational provision during a pandemic for children and young people with complex needs. </w:t>
      </w:r>
    </w:p>
    <w:p w:rsidR="00CD430C" w:rsidRDefault="00CD430C" w:rsidP="00CD430C">
      <w:pPr>
        <w:pStyle w:val="ListParagraph"/>
        <w:rPr>
          <w:rFonts w:eastAsia="Times New Roman"/>
        </w:rPr>
      </w:pPr>
    </w:p>
    <w:p w:rsidR="00CD430C" w:rsidRDefault="00CD430C" w:rsidP="00CD430C">
      <w:pPr>
        <w:pStyle w:val="ListParagraph"/>
        <w:rPr>
          <w:rFonts w:eastAsia="Times New Roman"/>
        </w:rPr>
      </w:pPr>
      <w:r>
        <w:rPr>
          <w:rFonts w:eastAsia="Times New Roman"/>
        </w:rPr>
        <w:t>The mitigations within DE guidance cannot be implemented: social distancing, face coverings and respiratory hygiene are all areas of concern rather than mitigation. The responsibility to identify workable mitigations lies with the governors, principal and staff in the schools. In the absence of a policy which acknowledges that numbers of pupils in schools must be reduced it is imperative that principals have the operational discretion to implement the measures they identify.</w:t>
      </w:r>
    </w:p>
    <w:p w:rsidR="00CD430C" w:rsidRDefault="00CD430C" w:rsidP="00CD430C">
      <w:pPr>
        <w:pStyle w:val="ListParagraph"/>
        <w:rPr>
          <w:rFonts w:eastAsia="Times New Roman"/>
        </w:rPr>
      </w:pPr>
    </w:p>
    <w:p w:rsidR="00CD430C" w:rsidRDefault="00CD430C" w:rsidP="00CD430C">
      <w:pPr>
        <w:pStyle w:val="ListParagraph"/>
      </w:pPr>
      <w:r>
        <w:t>Decisions around provision must be informed by the public health context within the wider community. Special needs communities do not live in isolated bubbles. The current crisis we find ourselves in has exhausted the mitigations that schools have available to them and is seeing increasing levels of staff shortages. Special schools have all been impacted by COVID since returning in August and have seen many partial or whole school closures to date. Without additional mitigations this will continue.</w:t>
      </w:r>
    </w:p>
    <w:p w:rsidR="00CD430C" w:rsidRDefault="00CD430C" w:rsidP="00CD430C">
      <w:pPr>
        <w:pStyle w:val="ListParagraph"/>
      </w:pPr>
    </w:p>
    <w:p w:rsidR="00CD430C" w:rsidRDefault="00CD430C" w:rsidP="00CD430C">
      <w:pPr>
        <w:pStyle w:val="ListParagraph"/>
      </w:pPr>
      <w:r>
        <w:t xml:space="preserve">It is well known that the special schools’ estate across Northern Ireland, particularly in Belfast, is dangerously overcrowded. The person to space ratio is wholly inadequate. Social distancing is not possible with whole school populations. Compounding this situation, a huge proportion of pupils have significant underlying health conditions. </w:t>
      </w:r>
    </w:p>
    <w:p w:rsidR="00CD430C" w:rsidRDefault="00CD430C" w:rsidP="00CD430C">
      <w:pPr>
        <w:pStyle w:val="ListParagraph"/>
      </w:pPr>
      <w:r>
        <w:br/>
        <w:t xml:space="preserve">The mental health and wellbeing the children and young people in our special schools as well as the workforce is paramount. Education staff supporting pupils with complex needs know the ramifications of uncertainty, to move forward there must be a holistic approach delivered with urgency. </w:t>
      </w:r>
    </w:p>
    <w:p w:rsidR="00CD430C" w:rsidRDefault="00CD430C" w:rsidP="00CD430C">
      <w:pPr>
        <w:pStyle w:val="ListParagraph"/>
        <w:rPr>
          <w:rFonts w:eastAsia="Times New Roman"/>
        </w:rPr>
      </w:pPr>
      <w:r>
        <w:br/>
      </w:r>
      <w:r>
        <w:rPr>
          <w:rFonts w:eastAsia="Times New Roman"/>
        </w:rPr>
        <w:t>Vulnerability of staff</w:t>
      </w:r>
      <w:r>
        <w:rPr>
          <w:rFonts w:eastAsia="Times New Roman"/>
        </w:rPr>
        <w:br/>
        <w:t>Where the provision of PPE to staff has provided limited protection it is not the save all solution. PPE limits the interaction that those with complex needs rely on and an issue that teachers report as having a significant impact on the learning that is happening within class. DE’s focus on the continued education of children must be as much a priority for those with complex needs.</w:t>
      </w:r>
    </w:p>
    <w:p w:rsidR="00CD430C" w:rsidRDefault="00CD430C" w:rsidP="00CD430C">
      <w:pPr>
        <w:pStyle w:val="ListParagraph"/>
        <w:rPr>
          <w:rFonts w:eastAsia="Times New Roman"/>
        </w:rPr>
      </w:pPr>
      <w:r>
        <w:rPr>
          <w:rFonts w:eastAsia="Times New Roman"/>
        </w:rPr>
        <w:t xml:space="preserve"> </w:t>
      </w:r>
      <w:r>
        <w:rPr>
          <w:rFonts w:eastAsia="Times New Roman"/>
        </w:rPr>
        <w:br/>
        <w:t xml:space="preserve">Reference to medical procedures carried out in school should not be used as a reason to maintain an open school policy. For clarity there are no medical procedures being carried out in school that cannot be carried out elsewhere including home. While carrying out intimate procedures staff are at increased risk, highlighted by the AGP preparation that was needed. Health staff on site in special schools are currently or have recently received the vaccine. Until the protection of vaccination is offered to all staff in special schools those providing intimate care do so at increased risk compared to their health colleagues on site. </w:t>
      </w:r>
    </w:p>
    <w:p w:rsidR="00CD430C" w:rsidRDefault="00CD430C" w:rsidP="00CD430C">
      <w:pPr>
        <w:pStyle w:val="ListParagraph"/>
        <w:rPr>
          <w:rFonts w:eastAsia="Times New Roman"/>
        </w:rPr>
      </w:pPr>
    </w:p>
    <w:p w:rsidR="00CD430C" w:rsidRDefault="00CD430C" w:rsidP="00CD430C">
      <w:pPr>
        <w:pStyle w:val="ListParagraph"/>
        <w:rPr>
          <w:rFonts w:eastAsia="Times New Roman"/>
        </w:rPr>
      </w:pPr>
      <w:r>
        <w:rPr>
          <w:rFonts w:eastAsia="Times New Roman"/>
        </w:rPr>
        <w:t xml:space="preserve">The Education Restart – Guidance for Schools &amp; Educational Settings in Northern Ireland January 2021 states “The Minister has sought the agreement of the Executive in order to prioritise vaccinations for education staff who are in in face to face engagement with children. He has suggested that first priority be given to staff within special schools given the physical contact required there, followed by any other education staff engaging with children (such as key workers and vulnerable children).” Education trade unions call for vaccination to be offered to the workforce immediately and calls on the Executive to recognise the urgency with which it is required to move to a more </w:t>
      </w:r>
      <w:r>
        <w:rPr>
          <w:rFonts w:eastAsia="Times New Roman"/>
        </w:rPr>
        <w:lastRenderedPageBreak/>
        <w:t>normal provision. Vaccination programmes are already run within schools for pupils. Providing the protection for staff could ensure the sustainable opening of schools supporting complex needs and provide increased reassurance to staff. This in turn supports not just the staff but the pupils and their families with immediate effect.</w:t>
      </w:r>
      <w:r>
        <w:rPr>
          <w:rFonts w:eastAsia="Times New Roman"/>
        </w:rPr>
        <w:br/>
      </w:r>
    </w:p>
    <w:p w:rsidR="00CD430C" w:rsidRDefault="00CD430C" w:rsidP="00CD430C">
      <w:pPr>
        <w:pStyle w:val="ListParagraph"/>
        <w:numPr>
          <w:ilvl w:val="0"/>
          <w:numId w:val="1"/>
        </w:numPr>
        <w:rPr>
          <w:rFonts w:eastAsia="Times New Roman"/>
        </w:rPr>
      </w:pPr>
      <w:r>
        <w:rPr>
          <w:rFonts w:eastAsia="Times New Roman"/>
        </w:rPr>
        <w:t>Vulnerability of the pupils</w:t>
      </w:r>
      <w:r>
        <w:rPr>
          <w:rFonts w:eastAsia="Times New Roman"/>
        </w:rPr>
        <w:br/>
        <w:t xml:space="preserve">The extension of face coverings for post primary pupils including in the classroom was taken as an essential step to protect young people and reduce spread of the virus. There have been mixed reports about the impact of the new variant on young people and while numbers may currently be low in Northern Ireland, as reported by Adrian Murphy (DE Covid Response Team) we are seeing increasing numbers in the south and England. To put it simply, the new variant if it comes into schools without additional mitigations could have a devastating impact. It must not be forgotten that though the blanket term special school is used the pupils are primary and post primary age. DE guidance recognises that pupils with complex needs do not have the capacity to follow basic mitigations – social distancing, for some hand washing, for some respiratory hygiene. Knowing this risk to the health of our children and young people with complex needs </w:t>
      </w:r>
      <w:r>
        <w:rPr>
          <w:rFonts w:eastAsia="Times New Roman"/>
          <w:u w:val="single"/>
        </w:rPr>
        <w:t>additional mitigations are not only an option they are a legal obligation</w:t>
      </w:r>
      <w:r>
        <w:rPr>
          <w:rFonts w:eastAsia="Times New Roman"/>
        </w:rPr>
        <w:t>.</w:t>
      </w:r>
      <w:r>
        <w:rPr>
          <w:rFonts w:eastAsia="Times New Roman"/>
        </w:rPr>
        <w:br/>
        <w:t>The vaccination of  pupils with complex needs would go far to reassure parents as well as improve the safety of the school environment, protect the NHS and enable schools supporting them to be open safely and long term.</w:t>
      </w:r>
      <w:r>
        <w:rPr>
          <w:rFonts w:eastAsia="Times New Roman"/>
        </w:rPr>
        <w:br/>
      </w:r>
    </w:p>
    <w:p w:rsidR="00CD430C" w:rsidRDefault="00CD430C" w:rsidP="00CD430C">
      <w:pPr>
        <w:pStyle w:val="ListParagraph"/>
        <w:numPr>
          <w:ilvl w:val="0"/>
          <w:numId w:val="1"/>
        </w:numPr>
        <w:rPr>
          <w:rFonts w:eastAsia="Times New Roman"/>
        </w:rPr>
      </w:pPr>
      <w:r>
        <w:rPr>
          <w:rFonts w:eastAsia="Times New Roman"/>
        </w:rPr>
        <w:t>Guidance</w:t>
      </w:r>
      <w:r>
        <w:rPr>
          <w:rFonts w:eastAsia="Times New Roman"/>
        </w:rPr>
        <w:br/>
        <w:t xml:space="preserve">Society was reopening and it was felt that the levels of infection and the R-rate were low. We find ourselves now facing significant rising R-rates and crisis in our NHS. </w:t>
      </w:r>
    </w:p>
    <w:p w:rsidR="00CD430C" w:rsidRDefault="00CD430C" w:rsidP="00CD430C">
      <w:pPr>
        <w:pStyle w:val="ListParagraph"/>
      </w:pPr>
      <w:r>
        <w:t>DE guidance Education Restart is to be implemented fully in line with letter received 9</w:t>
      </w:r>
      <w:r>
        <w:rPr>
          <w:vertAlign w:val="superscript"/>
        </w:rPr>
        <w:t>th</w:t>
      </w:r>
      <w:r>
        <w:t xml:space="preserve"> December form the chairperson of the education Management Side, Mrs Sara Long. The mitigations for primary and post primary pupils are accepted by DE as not being applicable in a special school setting.</w:t>
      </w:r>
    </w:p>
    <w:p w:rsidR="00CD430C" w:rsidRDefault="00CD430C" w:rsidP="00CD430C">
      <w:pPr>
        <w:pStyle w:val="ListParagraph"/>
      </w:pPr>
      <w:r>
        <w:t>Staff are experiencing increased risks as outlined in DE documents. It is not acceptable for this to continue. A key example is transport. Has the ventilation on EA buses been assessed and approved to meet the safety needs for passengers who will not be wearing face coverings, some of whom have respiratory issues, where there is no social distancing, and where someone may be COVID positive? The pupils on these buses may attend one of two or three different schools and subsequently may go into 16+ different classrooms. The ‘bubble’ protection is a key mitigation and yet is undermined by current school transport arrangements. Swift action to reduce numbers coordinated between EA and individual schools can reduce this risk.</w:t>
      </w:r>
    </w:p>
    <w:p w:rsidR="00CD430C" w:rsidRDefault="00CD430C" w:rsidP="00CD430C"/>
    <w:p w:rsidR="00CD430C" w:rsidRDefault="00CD430C" w:rsidP="00CD430C">
      <w:r>
        <w:t>As we enter this phase of lockdown and rumors abound about how long it will last, decisive action now by the Minister Education, with the support of the Department of Health and supported by the Executive, could ensure the highly trained staff that support our most vulnerable pupils are able to provide a safe, sustainable educational environment and an essential lifeline to the families that care for them.</w:t>
      </w:r>
    </w:p>
    <w:p w:rsidR="00CD430C" w:rsidRDefault="00CD430C" w:rsidP="00CD430C"/>
    <w:p w:rsidR="00CD430C" w:rsidRDefault="00CD430C" w:rsidP="00CD430C">
      <w:r>
        <w:t>We trust you will give these matters your fullest consideration as a matter of priority.</w:t>
      </w:r>
    </w:p>
    <w:p w:rsidR="00CD430C" w:rsidRDefault="00CD430C" w:rsidP="00CD430C"/>
    <w:p w:rsidR="00CD430C" w:rsidRDefault="00CD430C" w:rsidP="00CD430C">
      <w:r>
        <w:t>Yours Sincerely,</w:t>
      </w:r>
    </w:p>
    <w:p w:rsidR="001A02BE" w:rsidRDefault="001A02BE">
      <w:pPr>
        <w:pStyle w:val="Body"/>
      </w:pPr>
    </w:p>
    <w:p w:rsidR="00B36E4C" w:rsidRDefault="00B36E4C">
      <w:pPr>
        <w:pStyle w:val="Body"/>
      </w:pPr>
      <w:r>
        <w:t>On behalf of Tus</w:t>
      </w:r>
    </w:p>
    <w:p w:rsidR="00B36E4C" w:rsidRDefault="00B36E4C">
      <w:pPr>
        <w:pStyle w:val="Body"/>
      </w:pPr>
      <w:r>
        <w:t>P Mulholland</w:t>
      </w:r>
    </w:p>
    <w:p w:rsidR="00B36E4C" w:rsidRDefault="00B36E4C">
      <w:pPr>
        <w:pStyle w:val="Body"/>
      </w:pPr>
      <w:r>
        <w:t>DGS</w:t>
      </w:r>
    </w:p>
    <w:p w:rsidR="00B36E4C" w:rsidRDefault="00B36E4C">
      <w:pPr>
        <w:pStyle w:val="Body"/>
      </w:pPr>
      <w:r>
        <w:t>Nipsa</w:t>
      </w:r>
      <w:bookmarkStart w:id="0" w:name="_GoBack"/>
      <w:bookmarkEnd w:id="0"/>
    </w:p>
    <w:sectPr w:rsidR="00B36E4C">
      <w:headerReference w:type="default" r:id="rId7"/>
      <w:footerReference w:type="default" r:id="rId8"/>
      <w:headerReference w:type="first" r:id="rId9"/>
      <w:footerReference w:type="first" r:id="rId10"/>
      <w:pgSz w:w="11900" w:h="16840"/>
      <w:pgMar w:top="3301" w:right="418" w:bottom="567" w:left="424" w:header="48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0D7" w:rsidRDefault="001850D7">
      <w:r>
        <w:separator/>
      </w:r>
    </w:p>
  </w:endnote>
  <w:endnote w:type="continuationSeparator" w:id="0">
    <w:p w:rsidR="001850D7" w:rsidRDefault="0018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badi MT Condensed 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BE" w:rsidRDefault="00CD430C">
    <w:pPr>
      <w:pStyle w:val="Footer"/>
      <w:jc w:val="right"/>
    </w:pPr>
    <w:r>
      <w:rPr>
        <w:color w:val="A6A6A6"/>
        <w:sz w:val="18"/>
        <w:szCs w:val="18"/>
        <w:u w:color="A6A6A6"/>
      </w:rPr>
      <w:t xml:space="preserve">Page </w:t>
    </w:r>
    <w:r>
      <w:rPr>
        <w:color w:val="A6A6A6"/>
        <w:sz w:val="18"/>
        <w:szCs w:val="18"/>
        <w:u w:color="A6A6A6"/>
      </w:rPr>
      <w:fldChar w:fldCharType="begin"/>
    </w:r>
    <w:r>
      <w:rPr>
        <w:color w:val="A6A6A6"/>
        <w:sz w:val="18"/>
        <w:szCs w:val="18"/>
        <w:u w:color="A6A6A6"/>
      </w:rPr>
      <w:instrText xml:space="preserve"> PAGE </w:instrText>
    </w:r>
    <w:r>
      <w:rPr>
        <w:color w:val="A6A6A6"/>
        <w:sz w:val="18"/>
        <w:szCs w:val="18"/>
        <w:u w:color="A6A6A6"/>
      </w:rPr>
      <w:fldChar w:fldCharType="separate"/>
    </w:r>
    <w:r w:rsidR="00B36E4C">
      <w:rPr>
        <w:noProof/>
        <w:color w:val="A6A6A6"/>
        <w:sz w:val="18"/>
        <w:szCs w:val="18"/>
        <w:u w:color="A6A6A6"/>
      </w:rPr>
      <w:t>2</w:t>
    </w:r>
    <w:r>
      <w:rPr>
        <w:color w:val="A6A6A6"/>
        <w:sz w:val="18"/>
        <w:szCs w:val="18"/>
        <w:u w:color="A6A6A6"/>
      </w:rPr>
      <w:fldChar w:fldCharType="end"/>
    </w:r>
    <w:r>
      <w:rPr>
        <w:color w:val="A6A6A6"/>
        <w:sz w:val="18"/>
        <w:szCs w:val="18"/>
        <w:u w:color="A6A6A6"/>
      </w:rPr>
      <w:t xml:space="preserve"> of </w:t>
    </w:r>
    <w:r>
      <w:rPr>
        <w:color w:val="A6A6A6"/>
        <w:sz w:val="18"/>
        <w:szCs w:val="18"/>
        <w:u w:color="A6A6A6"/>
      </w:rPr>
      <w:fldChar w:fldCharType="begin"/>
    </w:r>
    <w:r>
      <w:rPr>
        <w:color w:val="A6A6A6"/>
        <w:sz w:val="18"/>
        <w:szCs w:val="18"/>
        <w:u w:color="A6A6A6"/>
      </w:rPr>
      <w:instrText xml:space="preserve"> NUMPAGES </w:instrText>
    </w:r>
    <w:r>
      <w:rPr>
        <w:color w:val="A6A6A6"/>
        <w:sz w:val="18"/>
        <w:szCs w:val="18"/>
        <w:u w:color="A6A6A6"/>
      </w:rPr>
      <w:fldChar w:fldCharType="separate"/>
    </w:r>
    <w:r w:rsidR="00B36E4C">
      <w:rPr>
        <w:noProof/>
        <w:color w:val="A6A6A6"/>
        <w:sz w:val="18"/>
        <w:szCs w:val="18"/>
        <w:u w:color="A6A6A6"/>
      </w:rPr>
      <w:t>3</w:t>
    </w:r>
    <w:r>
      <w:rPr>
        <w:color w:val="A6A6A6"/>
        <w:sz w:val="18"/>
        <w:szCs w:val="18"/>
        <w:u w:color="A6A6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BE" w:rsidRDefault="00CD430C">
    <w:pPr>
      <w:pStyle w:val="Footer"/>
      <w:tabs>
        <w:tab w:val="clear" w:pos="4513"/>
        <w:tab w:val="clear" w:pos="9026"/>
        <w:tab w:val="left" w:pos="8789"/>
      </w:tabs>
      <w:spacing w:after="120"/>
      <w:jc w:val="both"/>
      <w:rPr>
        <w:rFonts w:ascii="Abadi MT Condensed Light" w:eastAsia="Abadi MT Condensed Light" w:hAnsi="Abadi MT Condensed Light" w:cs="Abadi MT Condensed Light"/>
        <w:color w:val="1F3864"/>
        <w:sz w:val="18"/>
        <w:szCs w:val="18"/>
        <w:u w:color="1F3864"/>
      </w:rPr>
    </w:pPr>
    <w:r>
      <w:rPr>
        <w:rFonts w:ascii="Arial Narrow" w:hAnsi="Arial Narrow"/>
        <w:b/>
        <w:bCs/>
        <w:color w:val="1F3864"/>
        <w:sz w:val="18"/>
        <w:szCs w:val="18"/>
        <w:u w:color="1F3864"/>
      </w:rPr>
      <w:t>Trade Union Side Secretaries</w:t>
    </w:r>
    <w:r>
      <w:rPr>
        <w:sz w:val="18"/>
        <w:szCs w:val="18"/>
      </w:rPr>
      <w:tab/>
    </w:r>
    <w:r>
      <w:rPr>
        <w:rFonts w:ascii="Arial Narrow" w:hAnsi="Arial Narrow"/>
        <w:b/>
        <w:bCs/>
        <w:color w:val="1F3864"/>
        <w:sz w:val="18"/>
        <w:szCs w:val="18"/>
        <w:u w:color="1F3864"/>
      </w:rPr>
      <w:t>Trade Union Side Officer</w:t>
    </w:r>
  </w:p>
  <w:p w:rsidR="001A02BE" w:rsidRDefault="00CD430C">
    <w:pPr>
      <w:pStyle w:val="Footer"/>
      <w:tabs>
        <w:tab w:val="clear" w:pos="4513"/>
        <w:tab w:val="clear" w:pos="9026"/>
        <w:tab w:val="left" w:pos="2127"/>
        <w:tab w:val="left" w:pos="4111"/>
        <w:tab w:val="left" w:pos="6096"/>
        <w:tab w:val="left" w:pos="8789"/>
        <w:tab w:val="left" w:pos="8931"/>
      </w:tabs>
      <w:ind w:right="1"/>
      <w:jc w:val="both"/>
      <w:rPr>
        <w:rFonts w:ascii="Arial Narrow" w:eastAsia="Arial Narrow" w:hAnsi="Arial Narrow" w:cs="Arial Narrow"/>
        <w:color w:val="2E74B5"/>
        <w:sz w:val="18"/>
        <w:szCs w:val="18"/>
        <w:u w:color="2E74B5"/>
      </w:rPr>
    </w:pPr>
    <w:r>
      <w:rPr>
        <w:rFonts w:ascii="Arial Narrow" w:hAnsi="Arial Narrow"/>
        <w:b/>
        <w:bCs/>
        <w:color w:val="2E74B5"/>
        <w:sz w:val="18"/>
        <w:szCs w:val="18"/>
        <w:u w:color="2E74B5"/>
      </w:rPr>
      <w:t>NIPSA</w:t>
    </w:r>
    <w:r>
      <w:rPr>
        <w:rFonts w:ascii="Arial Narrow" w:eastAsia="Arial Narrow" w:hAnsi="Arial Narrow" w:cs="Arial Narrow"/>
        <w:color w:val="2E74B5"/>
        <w:sz w:val="18"/>
        <w:szCs w:val="18"/>
        <w:u w:color="2E74B5"/>
      </w:rPr>
      <w:tab/>
    </w:r>
    <w:r>
      <w:rPr>
        <w:rFonts w:ascii="Arial Narrow" w:hAnsi="Arial Narrow"/>
        <w:b/>
        <w:bCs/>
        <w:color w:val="2E74B5"/>
        <w:sz w:val="18"/>
        <w:szCs w:val="18"/>
        <w:u w:color="2E74B5"/>
      </w:rPr>
      <w:t>Unison</w:t>
    </w:r>
    <w:r>
      <w:rPr>
        <w:rFonts w:ascii="Arial Narrow" w:eastAsia="Arial Narrow" w:hAnsi="Arial Narrow" w:cs="Arial Narrow"/>
        <w:color w:val="2E74B5"/>
        <w:sz w:val="18"/>
        <w:szCs w:val="18"/>
        <w:u w:color="2E74B5"/>
      </w:rPr>
      <w:tab/>
    </w:r>
    <w:r>
      <w:rPr>
        <w:rFonts w:ascii="Arial Narrow" w:hAnsi="Arial Narrow"/>
        <w:b/>
        <w:bCs/>
        <w:color w:val="2E74B5"/>
        <w:sz w:val="18"/>
        <w:szCs w:val="18"/>
        <w:u w:color="2E74B5"/>
      </w:rPr>
      <w:t>GMB</w:t>
    </w:r>
    <w:r>
      <w:rPr>
        <w:rFonts w:ascii="Arial Narrow" w:eastAsia="Arial Narrow" w:hAnsi="Arial Narrow" w:cs="Arial Narrow"/>
        <w:color w:val="2E74B5"/>
        <w:sz w:val="18"/>
        <w:szCs w:val="18"/>
        <w:u w:color="2E74B5"/>
      </w:rPr>
      <w:tab/>
    </w:r>
    <w:r>
      <w:rPr>
        <w:rFonts w:ascii="Arial Narrow" w:hAnsi="Arial Narrow"/>
        <w:b/>
        <w:bCs/>
        <w:color w:val="2E74B5"/>
        <w:sz w:val="18"/>
        <w:szCs w:val="18"/>
        <w:u w:color="2E74B5"/>
      </w:rPr>
      <w:t>Unite</w:t>
    </w:r>
    <w:r>
      <w:rPr>
        <w:rFonts w:ascii="Arial Narrow" w:eastAsia="Arial Narrow" w:hAnsi="Arial Narrow" w:cs="Arial Narrow"/>
        <w:color w:val="2E74B5"/>
        <w:sz w:val="18"/>
        <w:szCs w:val="18"/>
        <w:u w:color="2E74B5"/>
      </w:rPr>
      <w:tab/>
      <w:t>Ms H McKinstry</w:t>
    </w:r>
  </w:p>
  <w:p w:rsidR="001A02BE" w:rsidRDefault="00CD430C">
    <w:pPr>
      <w:pStyle w:val="Footer"/>
      <w:tabs>
        <w:tab w:val="clear" w:pos="4513"/>
        <w:tab w:val="clear" w:pos="9026"/>
        <w:tab w:val="left" w:pos="2127"/>
        <w:tab w:val="left" w:pos="4111"/>
        <w:tab w:val="left" w:pos="6096"/>
        <w:tab w:val="left" w:pos="8789"/>
        <w:tab w:val="left" w:pos="8931"/>
      </w:tabs>
      <w:ind w:right="1"/>
      <w:jc w:val="both"/>
      <w:rPr>
        <w:rFonts w:ascii="Arial Narrow" w:eastAsia="Arial Narrow" w:hAnsi="Arial Narrow" w:cs="Arial Narrow"/>
        <w:color w:val="1F3864"/>
        <w:sz w:val="18"/>
        <w:szCs w:val="18"/>
        <w:u w:color="1F3864"/>
      </w:rPr>
    </w:pPr>
    <w:r>
      <w:rPr>
        <w:rFonts w:ascii="Arial Narrow" w:hAnsi="Arial Narrow"/>
        <w:color w:val="1F3864"/>
        <w:sz w:val="18"/>
        <w:szCs w:val="18"/>
        <w:u w:color="1F3864"/>
      </w:rPr>
      <w:t>Mr Alan Law (Acting)</w:t>
    </w:r>
    <w:r>
      <w:rPr>
        <w:rFonts w:ascii="Arial Narrow" w:eastAsia="Arial Narrow" w:hAnsi="Arial Narrow" w:cs="Arial Narrow"/>
        <w:color w:val="1F3864"/>
        <w:sz w:val="18"/>
        <w:szCs w:val="18"/>
        <w:u w:color="1F3864"/>
      </w:rPr>
      <w:tab/>
      <w:t>Ms A Speed</w:t>
    </w:r>
    <w:r>
      <w:rPr>
        <w:rFonts w:ascii="Arial Narrow" w:eastAsia="Arial Narrow" w:hAnsi="Arial Narrow" w:cs="Arial Narrow"/>
        <w:color w:val="1F3864"/>
        <w:sz w:val="18"/>
        <w:szCs w:val="18"/>
        <w:u w:color="1F3864"/>
      </w:rPr>
      <w:tab/>
      <w:t>Jim Donley</w:t>
    </w:r>
    <w:r>
      <w:rPr>
        <w:rFonts w:ascii="Arial Narrow" w:eastAsia="Arial Narrow" w:hAnsi="Arial Narrow" w:cs="Arial Narrow"/>
        <w:color w:val="1F3864"/>
        <w:sz w:val="18"/>
        <w:szCs w:val="18"/>
        <w:u w:color="1F3864"/>
      </w:rPr>
      <w:tab/>
      <w:t>Mr Kieran Ellison</w:t>
    </w:r>
    <w:r>
      <w:rPr>
        <w:rFonts w:ascii="Arial Narrow" w:eastAsia="Arial Narrow" w:hAnsi="Arial Narrow" w:cs="Arial Narrow"/>
        <w:color w:val="1F3864"/>
        <w:sz w:val="18"/>
        <w:szCs w:val="18"/>
        <w:u w:color="1F3864"/>
      </w:rPr>
      <w:tab/>
      <w:t>Education Authority</w:t>
    </w:r>
  </w:p>
  <w:p w:rsidR="001A02BE" w:rsidRDefault="00CD430C">
    <w:pPr>
      <w:pStyle w:val="Footer"/>
      <w:tabs>
        <w:tab w:val="clear" w:pos="4513"/>
        <w:tab w:val="clear" w:pos="9026"/>
        <w:tab w:val="left" w:pos="2127"/>
        <w:tab w:val="left" w:pos="4111"/>
        <w:tab w:val="left" w:pos="6096"/>
        <w:tab w:val="left" w:pos="8789"/>
        <w:tab w:val="left" w:pos="8931"/>
      </w:tabs>
      <w:ind w:right="1"/>
      <w:jc w:val="both"/>
      <w:rPr>
        <w:rFonts w:ascii="Arial Narrow" w:eastAsia="Arial Narrow" w:hAnsi="Arial Narrow" w:cs="Arial Narrow"/>
        <w:color w:val="1F3864"/>
        <w:sz w:val="18"/>
        <w:szCs w:val="18"/>
        <w:u w:color="1F3864"/>
      </w:rPr>
    </w:pPr>
    <w:r>
      <w:rPr>
        <w:rFonts w:ascii="Arial Narrow" w:hAnsi="Arial Narrow"/>
        <w:color w:val="1F3864"/>
        <w:sz w:val="18"/>
        <w:szCs w:val="18"/>
        <w:u w:color="1F3864"/>
      </w:rPr>
      <w:t>54 Wellington Park</w:t>
    </w:r>
    <w:r>
      <w:rPr>
        <w:rFonts w:ascii="Arial Narrow" w:hAnsi="Arial Narrow"/>
        <w:color w:val="1F3864"/>
        <w:sz w:val="18"/>
        <w:szCs w:val="18"/>
        <w:u w:color="1F3864"/>
      </w:rPr>
      <w:tab/>
      <w:t>Unison Centre</w:t>
    </w:r>
    <w:r>
      <w:rPr>
        <w:rFonts w:ascii="Arial Narrow" w:hAnsi="Arial Narrow"/>
        <w:color w:val="1F3864"/>
        <w:sz w:val="18"/>
        <w:szCs w:val="18"/>
        <w:u w:color="1F3864"/>
      </w:rPr>
      <w:tab/>
      <w:t>Victoria House</w:t>
    </w:r>
    <w:r>
      <w:rPr>
        <w:rFonts w:ascii="Arial Narrow" w:hAnsi="Arial Narrow"/>
        <w:color w:val="1F3864"/>
        <w:sz w:val="18"/>
        <w:szCs w:val="18"/>
        <w:u w:color="1F3864"/>
      </w:rPr>
      <w:tab/>
      <w:t>26-34 Antrim Road</w:t>
    </w:r>
    <w:r>
      <w:rPr>
        <w:rFonts w:ascii="Arial Narrow" w:hAnsi="Arial Narrow"/>
        <w:color w:val="1F3864"/>
        <w:sz w:val="18"/>
        <w:szCs w:val="18"/>
        <w:u w:color="1F3864"/>
      </w:rPr>
      <w:tab/>
      <w:t>3 Charlemont Place</w:t>
    </w:r>
  </w:p>
  <w:p w:rsidR="001A02BE" w:rsidRDefault="00CD430C">
    <w:pPr>
      <w:pStyle w:val="Footer"/>
      <w:tabs>
        <w:tab w:val="clear" w:pos="4513"/>
        <w:tab w:val="clear" w:pos="9026"/>
        <w:tab w:val="left" w:pos="2127"/>
        <w:tab w:val="left" w:pos="4111"/>
        <w:tab w:val="left" w:pos="6096"/>
        <w:tab w:val="left" w:pos="8789"/>
        <w:tab w:val="left" w:pos="8931"/>
      </w:tabs>
      <w:ind w:right="1"/>
      <w:jc w:val="both"/>
      <w:rPr>
        <w:rFonts w:ascii="Arial Narrow" w:eastAsia="Arial Narrow" w:hAnsi="Arial Narrow" w:cs="Arial Narrow"/>
        <w:color w:val="1F3864"/>
        <w:sz w:val="18"/>
        <w:szCs w:val="18"/>
        <w:u w:color="1F3864"/>
      </w:rPr>
    </w:pPr>
    <w:r>
      <w:rPr>
        <w:rFonts w:ascii="Arial Narrow" w:hAnsi="Arial Narrow"/>
        <w:color w:val="1F3864"/>
        <w:sz w:val="18"/>
        <w:szCs w:val="18"/>
        <w:u w:color="1F3864"/>
      </w:rPr>
      <w:t>Belfast</w:t>
    </w:r>
    <w:r>
      <w:rPr>
        <w:rFonts w:ascii="Arial Narrow" w:hAnsi="Arial Narrow"/>
        <w:color w:val="1F3864"/>
        <w:sz w:val="18"/>
        <w:szCs w:val="18"/>
        <w:u w:color="1F3864"/>
      </w:rPr>
      <w:tab/>
      <w:t>Galway House</w:t>
    </w:r>
    <w:r>
      <w:rPr>
        <w:rFonts w:ascii="Arial Narrow" w:hAnsi="Arial Narrow"/>
        <w:color w:val="1F3864"/>
        <w:sz w:val="18"/>
        <w:szCs w:val="18"/>
        <w:u w:color="1F3864"/>
      </w:rPr>
      <w:tab/>
      <w:t>1a Victoria Road</w:t>
    </w:r>
    <w:r>
      <w:rPr>
        <w:rFonts w:ascii="Arial Narrow" w:hAnsi="Arial Narrow"/>
        <w:color w:val="1F3864"/>
        <w:sz w:val="18"/>
        <w:szCs w:val="18"/>
        <w:u w:color="1F3864"/>
      </w:rPr>
      <w:tab/>
      <w:t>Belfast</w:t>
    </w:r>
    <w:r>
      <w:rPr>
        <w:rFonts w:ascii="Arial Narrow" w:hAnsi="Arial Narrow"/>
        <w:color w:val="1F3864"/>
        <w:sz w:val="18"/>
        <w:szCs w:val="18"/>
        <w:u w:color="1F3864"/>
      </w:rPr>
      <w:tab/>
      <w:t>The Mall</w:t>
    </w:r>
  </w:p>
  <w:p w:rsidR="001A02BE" w:rsidRDefault="00CD430C">
    <w:pPr>
      <w:pStyle w:val="Footer"/>
      <w:tabs>
        <w:tab w:val="clear" w:pos="4513"/>
        <w:tab w:val="clear" w:pos="9026"/>
        <w:tab w:val="left" w:pos="2127"/>
        <w:tab w:val="left" w:pos="4111"/>
        <w:tab w:val="left" w:pos="6096"/>
        <w:tab w:val="left" w:pos="8789"/>
        <w:tab w:val="left" w:pos="8931"/>
      </w:tabs>
      <w:ind w:right="1"/>
      <w:jc w:val="both"/>
      <w:rPr>
        <w:rFonts w:ascii="Arial Narrow" w:eastAsia="Arial Narrow" w:hAnsi="Arial Narrow" w:cs="Arial Narrow"/>
        <w:color w:val="1F3864"/>
        <w:sz w:val="18"/>
        <w:szCs w:val="18"/>
        <w:u w:color="1F3864"/>
      </w:rPr>
    </w:pPr>
    <w:r>
      <w:rPr>
        <w:rFonts w:ascii="Arial Narrow" w:hAnsi="Arial Narrow"/>
        <w:color w:val="1F3864"/>
        <w:sz w:val="18"/>
        <w:szCs w:val="18"/>
        <w:u w:color="1F3864"/>
      </w:rPr>
      <w:t>BT96DP</w:t>
    </w:r>
    <w:r>
      <w:rPr>
        <w:rFonts w:ascii="Arial Narrow" w:hAnsi="Arial Narrow"/>
        <w:color w:val="1F3864"/>
        <w:sz w:val="18"/>
        <w:szCs w:val="18"/>
        <w:u w:color="1F3864"/>
      </w:rPr>
      <w:tab/>
      <w:t>165 York Street</w:t>
    </w:r>
    <w:r>
      <w:rPr>
        <w:rFonts w:ascii="Arial Narrow" w:hAnsi="Arial Narrow"/>
        <w:color w:val="1F3864"/>
        <w:sz w:val="18"/>
        <w:szCs w:val="18"/>
        <w:u w:color="1F3864"/>
      </w:rPr>
      <w:tab/>
      <w:t>Holywood</w:t>
    </w:r>
    <w:r>
      <w:rPr>
        <w:rFonts w:ascii="Arial Narrow" w:hAnsi="Arial Narrow"/>
        <w:color w:val="1F3864"/>
        <w:sz w:val="18"/>
        <w:szCs w:val="18"/>
        <w:u w:color="1F3864"/>
      </w:rPr>
      <w:tab/>
      <w:t>BT15 2AA</w:t>
    </w:r>
    <w:r>
      <w:rPr>
        <w:rFonts w:ascii="Arial Narrow" w:hAnsi="Arial Narrow"/>
        <w:color w:val="1F3864"/>
        <w:sz w:val="18"/>
        <w:szCs w:val="18"/>
        <w:u w:color="1F3864"/>
      </w:rPr>
      <w:tab/>
      <w:t xml:space="preserve">Armagh </w:t>
    </w:r>
  </w:p>
  <w:p w:rsidR="001A02BE" w:rsidRDefault="00CD430C">
    <w:pPr>
      <w:pStyle w:val="Footer"/>
      <w:tabs>
        <w:tab w:val="clear" w:pos="4513"/>
        <w:tab w:val="clear" w:pos="9026"/>
        <w:tab w:val="left" w:pos="2127"/>
        <w:tab w:val="left" w:pos="4111"/>
        <w:tab w:val="left" w:pos="6096"/>
        <w:tab w:val="left" w:pos="8789"/>
        <w:tab w:val="left" w:pos="8931"/>
      </w:tabs>
      <w:ind w:right="1"/>
      <w:jc w:val="both"/>
      <w:rPr>
        <w:rFonts w:ascii="Arial Narrow" w:eastAsia="Arial Narrow" w:hAnsi="Arial Narrow" w:cs="Arial Narrow"/>
        <w:color w:val="1F3864"/>
        <w:sz w:val="18"/>
        <w:szCs w:val="18"/>
        <w:u w:color="1F3864"/>
      </w:rPr>
    </w:pPr>
    <w:r>
      <w:rPr>
        <w:rFonts w:ascii="Arial Narrow" w:eastAsia="Arial Narrow" w:hAnsi="Arial Narrow" w:cs="Arial Narrow"/>
        <w:color w:val="1F3864"/>
        <w:sz w:val="18"/>
        <w:szCs w:val="18"/>
        <w:u w:color="1F3864"/>
      </w:rPr>
      <w:tab/>
      <w:t>Belfast</w:t>
    </w:r>
    <w:r>
      <w:rPr>
        <w:rFonts w:ascii="Arial Narrow" w:eastAsia="Arial Narrow" w:hAnsi="Arial Narrow" w:cs="Arial Narrow"/>
        <w:color w:val="1F3864"/>
        <w:sz w:val="18"/>
        <w:szCs w:val="18"/>
        <w:u w:color="1F3864"/>
      </w:rPr>
      <w:tab/>
      <w:t>BT18 9BA</w:t>
    </w:r>
    <w:r>
      <w:rPr>
        <w:rFonts w:ascii="Arial Narrow" w:eastAsia="Arial Narrow" w:hAnsi="Arial Narrow" w:cs="Arial Narrow"/>
        <w:color w:val="1F3864"/>
        <w:sz w:val="18"/>
        <w:szCs w:val="18"/>
        <w:u w:color="1F3864"/>
      </w:rPr>
      <w:tab/>
    </w:r>
    <w:r>
      <w:rPr>
        <w:rFonts w:ascii="Arial Narrow" w:eastAsia="Arial Narrow" w:hAnsi="Arial Narrow" w:cs="Arial Narrow"/>
        <w:color w:val="1F3864"/>
        <w:sz w:val="18"/>
        <w:szCs w:val="18"/>
        <w:u w:color="1F3864"/>
      </w:rPr>
      <w:tab/>
      <w:t>BT61 9AX</w:t>
    </w:r>
  </w:p>
  <w:p w:rsidR="001A02BE" w:rsidRDefault="00CD430C">
    <w:pPr>
      <w:pStyle w:val="Footer"/>
      <w:tabs>
        <w:tab w:val="clear" w:pos="4513"/>
        <w:tab w:val="clear" w:pos="9026"/>
        <w:tab w:val="left" w:pos="2127"/>
        <w:tab w:val="left" w:pos="4111"/>
        <w:tab w:val="left" w:pos="6096"/>
        <w:tab w:val="left" w:pos="8789"/>
        <w:tab w:val="left" w:pos="8931"/>
      </w:tabs>
      <w:spacing w:after="240"/>
      <w:jc w:val="both"/>
      <w:rPr>
        <w:rFonts w:ascii="Arial Narrow" w:eastAsia="Arial Narrow" w:hAnsi="Arial Narrow" w:cs="Arial Narrow"/>
        <w:color w:val="1F3864"/>
        <w:sz w:val="18"/>
        <w:szCs w:val="18"/>
        <w:u w:color="1F3864"/>
      </w:rPr>
    </w:pPr>
    <w:r>
      <w:rPr>
        <w:rFonts w:ascii="Arial Narrow" w:eastAsia="Arial Narrow" w:hAnsi="Arial Narrow" w:cs="Arial Narrow"/>
        <w:color w:val="1F3864"/>
        <w:sz w:val="18"/>
        <w:szCs w:val="18"/>
        <w:u w:color="1F3864"/>
      </w:rPr>
      <w:tab/>
      <w:t>BT13 1AL</w:t>
    </w:r>
    <w:r>
      <w:rPr>
        <w:rFonts w:ascii="Arial Narrow" w:eastAsia="Arial Narrow" w:hAnsi="Arial Narrow" w:cs="Arial Narrow"/>
        <w:color w:val="1F3864"/>
        <w:sz w:val="18"/>
        <w:szCs w:val="18"/>
        <w:u w:color="1F3864"/>
      </w:rPr>
      <w:tab/>
    </w:r>
    <w:r>
      <w:rPr>
        <w:rFonts w:ascii="Arial Narrow" w:eastAsia="Arial Narrow" w:hAnsi="Arial Narrow" w:cs="Arial Narrow"/>
        <w:color w:val="1F3864"/>
        <w:sz w:val="18"/>
        <w:szCs w:val="18"/>
        <w:u w:color="1F3864"/>
      </w:rPr>
      <w:tab/>
    </w:r>
    <w:r>
      <w:rPr>
        <w:rFonts w:ascii="Arial Narrow" w:eastAsia="Arial Narrow" w:hAnsi="Arial Narrow" w:cs="Arial Narrow"/>
        <w:color w:val="1F3864"/>
        <w:sz w:val="18"/>
        <w:szCs w:val="18"/>
        <w:u w:color="1F3864"/>
      </w:rPr>
      <w:tab/>
    </w:r>
    <w:r>
      <w:rPr>
        <w:rFonts w:ascii="Arial Narrow" w:eastAsia="Arial Narrow" w:hAnsi="Arial Narrow" w:cs="Arial Narrow"/>
        <w:color w:val="1F3864"/>
        <w:sz w:val="18"/>
        <w:szCs w:val="18"/>
        <w:u w:color="1F3864"/>
      </w:rPr>
      <w:tab/>
    </w:r>
  </w:p>
  <w:p w:rsidR="001A02BE" w:rsidRDefault="00CD430C">
    <w:pPr>
      <w:pStyle w:val="Footer"/>
      <w:tabs>
        <w:tab w:val="clear" w:pos="4513"/>
        <w:tab w:val="clear" w:pos="9026"/>
        <w:tab w:val="left" w:pos="2127"/>
        <w:tab w:val="left" w:pos="4111"/>
        <w:tab w:val="left" w:pos="6096"/>
        <w:tab w:val="left" w:pos="8789"/>
        <w:tab w:val="left" w:pos="8931"/>
      </w:tabs>
      <w:ind w:right="1"/>
      <w:jc w:val="both"/>
      <w:rPr>
        <w:rFonts w:ascii="Arial Narrow" w:eastAsia="Arial Narrow" w:hAnsi="Arial Narrow" w:cs="Arial Narrow"/>
        <w:color w:val="1F3864"/>
        <w:sz w:val="18"/>
        <w:szCs w:val="18"/>
        <w:u w:color="1F3864"/>
      </w:rPr>
    </w:pPr>
    <w:r>
      <w:rPr>
        <w:rFonts w:ascii="Arial Narrow" w:hAnsi="Arial Narrow"/>
        <w:b/>
        <w:bCs/>
        <w:color w:val="2E74B5"/>
        <w:sz w:val="18"/>
        <w:szCs w:val="18"/>
        <w:u w:color="2E74B5"/>
      </w:rPr>
      <w:t>T:</w:t>
    </w:r>
    <w:r>
      <w:rPr>
        <w:rFonts w:ascii="Arial Narrow" w:hAnsi="Arial Narrow"/>
        <w:color w:val="2E74B5"/>
        <w:sz w:val="18"/>
        <w:szCs w:val="18"/>
        <w:u w:color="2E74B5"/>
      </w:rPr>
      <w:t xml:space="preserve"> </w:t>
    </w:r>
    <w:r>
      <w:rPr>
        <w:rFonts w:ascii="Arial Narrow" w:hAnsi="Arial Narrow"/>
        <w:color w:val="1F3864"/>
        <w:sz w:val="18"/>
        <w:szCs w:val="18"/>
        <w:u w:color="1F3864"/>
      </w:rPr>
      <w:t>028 9066 1831</w:t>
    </w:r>
    <w:r>
      <w:rPr>
        <w:rFonts w:ascii="Arial Narrow" w:hAnsi="Arial Narrow"/>
        <w:color w:val="1F3864"/>
        <w:sz w:val="18"/>
        <w:szCs w:val="18"/>
        <w:u w:color="1F3864"/>
      </w:rPr>
      <w:tab/>
    </w:r>
    <w:r>
      <w:rPr>
        <w:rFonts w:ascii="Arial Narrow" w:hAnsi="Arial Narrow"/>
        <w:b/>
        <w:bCs/>
        <w:color w:val="2E74B5"/>
        <w:sz w:val="18"/>
        <w:szCs w:val="18"/>
        <w:u w:color="2E74B5"/>
      </w:rPr>
      <w:t>T:</w:t>
    </w:r>
    <w:r>
      <w:rPr>
        <w:rFonts w:ascii="Arial Narrow" w:hAnsi="Arial Narrow"/>
        <w:color w:val="2E74B5"/>
        <w:sz w:val="18"/>
        <w:szCs w:val="18"/>
        <w:u w:color="2E74B5"/>
      </w:rPr>
      <w:t xml:space="preserve"> </w:t>
    </w:r>
    <w:r>
      <w:rPr>
        <w:rFonts w:ascii="Arial Narrow" w:hAnsi="Arial Narrow"/>
        <w:color w:val="1F3864"/>
        <w:sz w:val="18"/>
        <w:szCs w:val="18"/>
        <w:u w:color="1F3864"/>
      </w:rPr>
      <w:t>028 9027 0170</w:t>
    </w:r>
    <w:r>
      <w:rPr>
        <w:rFonts w:ascii="Arial Narrow" w:hAnsi="Arial Narrow"/>
        <w:color w:val="1F3864"/>
        <w:sz w:val="18"/>
        <w:szCs w:val="18"/>
        <w:u w:color="1F3864"/>
      </w:rPr>
      <w:tab/>
    </w:r>
    <w:r>
      <w:rPr>
        <w:rFonts w:ascii="Arial Narrow" w:hAnsi="Arial Narrow"/>
        <w:b/>
        <w:bCs/>
        <w:color w:val="2E74B5"/>
        <w:sz w:val="18"/>
        <w:szCs w:val="18"/>
        <w:u w:color="2E74B5"/>
      </w:rPr>
      <w:t>T:</w:t>
    </w:r>
    <w:r>
      <w:rPr>
        <w:rFonts w:ascii="Arial Narrow" w:hAnsi="Arial Narrow"/>
        <w:color w:val="2E74B5"/>
        <w:sz w:val="18"/>
        <w:szCs w:val="18"/>
        <w:u w:color="2E74B5"/>
      </w:rPr>
      <w:t xml:space="preserve"> </w:t>
    </w:r>
    <w:r>
      <w:rPr>
        <w:rFonts w:ascii="Arial Narrow" w:hAnsi="Arial Narrow"/>
        <w:color w:val="1F3864"/>
        <w:sz w:val="18"/>
        <w:szCs w:val="18"/>
        <w:u w:color="1F3864"/>
      </w:rPr>
      <w:t>028 9039 3340</w:t>
    </w:r>
    <w:r>
      <w:rPr>
        <w:rFonts w:ascii="Arial Narrow" w:hAnsi="Arial Narrow"/>
        <w:color w:val="1F3864"/>
        <w:sz w:val="18"/>
        <w:szCs w:val="18"/>
        <w:u w:color="1F3864"/>
      </w:rPr>
      <w:tab/>
    </w:r>
    <w:r>
      <w:rPr>
        <w:rFonts w:ascii="Arial Narrow" w:hAnsi="Arial Narrow"/>
        <w:b/>
        <w:bCs/>
        <w:color w:val="2E74B5"/>
        <w:sz w:val="18"/>
        <w:szCs w:val="18"/>
        <w:u w:color="2E74B5"/>
      </w:rPr>
      <w:t>T:</w:t>
    </w:r>
    <w:r>
      <w:rPr>
        <w:rFonts w:ascii="Arial Narrow" w:hAnsi="Arial Narrow"/>
        <w:color w:val="2E74B5"/>
        <w:sz w:val="18"/>
        <w:szCs w:val="18"/>
        <w:u w:color="2E74B5"/>
      </w:rPr>
      <w:t xml:space="preserve"> </w:t>
    </w:r>
    <w:r>
      <w:rPr>
        <w:rFonts w:ascii="Arial Narrow" w:hAnsi="Arial Narrow"/>
        <w:color w:val="1F3864"/>
        <w:sz w:val="18"/>
        <w:szCs w:val="18"/>
        <w:u w:color="1F3864"/>
      </w:rPr>
      <w:t>028 9023 2381</w:t>
    </w:r>
    <w:r>
      <w:rPr>
        <w:rFonts w:ascii="Arial Narrow" w:hAnsi="Arial Narrow"/>
        <w:color w:val="1F3864"/>
        <w:sz w:val="18"/>
        <w:szCs w:val="18"/>
        <w:u w:color="1F3864"/>
      </w:rPr>
      <w:tab/>
    </w:r>
    <w:r>
      <w:rPr>
        <w:rFonts w:ascii="Arial Narrow" w:hAnsi="Arial Narrow"/>
        <w:b/>
        <w:bCs/>
        <w:color w:val="2E74B5"/>
        <w:sz w:val="18"/>
        <w:szCs w:val="18"/>
        <w:u w:color="2E74B5"/>
      </w:rPr>
      <w:t>T:</w:t>
    </w:r>
    <w:r>
      <w:rPr>
        <w:rFonts w:ascii="Arial Narrow" w:hAnsi="Arial Narrow"/>
        <w:color w:val="2E74B5"/>
        <w:sz w:val="18"/>
        <w:szCs w:val="18"/>
        <w:u w:color="2E74B5"/>
      </w:rPr>
      <w:t xml:space="preserve"> </w:t>
    </w:r>
    <w:r>
      <w:rPr>
        <w:rFonts w:ascii="Arial Narrow" w:hAnsi="Arial Narrow"/>
        <w:color w:val="1F3864"/>
        <w:sz w:val="18"/>
        <w:szCs w:val="18"/>
        <w:u w:color="1F3864"/>
      </w:rPr>
      <w:t>028 3751 2359</w:t>
    </w:r>
  </w:p>
  <w:p w:rsidR="001A02BE" w:rsidRDefault="00CD430C">
    <w:pPr>
      <w:pStyle w:val="Footer"/>
      <w:tabs>
        <w:tab w:val="clear" w:pos="4513"/>
        <w:tab w:val="clear" w:pos="9026"/>
        <w:tab w:val="left" w:pos="2127"/>
        <w:tab w:val="left" w:pos="4111"/>
        <w:tab w:val="left" w:pos="6096"/>
        <w:tab w:val="left" w:pos="8789"/>
        <w:tab w:val="left" w:pos="8931"/>
      </w:tabs>
      <w:ind w:right="1"/>
      <w:jc w:val="both"/>
      <w:rPr>
        <w:rFonts w:ascii="Arial Narrow" w:eastAsia="Arial Narrow" w:hAnsi="Arial Narrow" w:cs="Arial Narrow"/>
        <w:color w:val="1F3864"/>
        <w:sz w:val="18"/>
        <w:szCs w:val="18"/>
        <w:u w:color="1F3864"/>
      </w:rPr>
    </w:pPr>
    <w:r>
      <w:rPr>
        <w:rFonts w:ascii="Arial Narrow" w:hAnsi="Arial Narrow"/>
        <w:b/>
        <w:bCs/>
        <w:color w:val="2E74B5"/>
        <w:sz w:val="18"/>
        <w:szCs w:val="18"/>
        <w:u w:color="2E74B5"/>
      </w:rPr>
      <w:t xml:space="preserve">E: </w:t>
    </w:r>
    <w:r>
      <w:rPr>
        <w:rFonts w:ascii="Arial Narrow" w:hAnsi="Arial Narrow"/>
        <w:color w:val="1F3864"/>
        <w:sz w:val="18"/>
        <w:szCs w:val="18"/>
        <w:u w:color="1F3864"/>
      </w:rPr>
      <w:t>alan.law@nipsa.org.uk</w:t>
    </w:r>
    <w:r>
      <w:rPr>
        <w:rFonts w:ascii="Arial Narrow" w:hAnsi="Arial Narrow"/>
        <w:color w:val="1F3864"/>
        <w:sz w:val="18"/>
        <w:szCs w:val="18"/>
        <w:u w:color="1F3864"/>
      </w:rPr>
      <w:tab/>
    </w:r>
    <w:r>
      <w:rPr>
        <w:rFonts w:ascii="Arial Narrow" w:hAnsi="Arial Narrow"/>
        <w:b/>
        <w:bCs/>
        <w:color w:val="2E74B5"/>
        <w:sz w:val="18"/>
        <w:szCs w:val="18"/>
        <w:u w:color="2E74B5"/>
      </w:rPr>
      <w:t>E:</w:t>
    </w:r>
    <w:r>
      <w:t xml:space="preserve"> </w:t>
    </w:r>
    <w:r>
      <w:rPr>
        <w:rFonts w:ascii="Arial Narrow" w:hAnsi="Arial Narrow"/>
        <w:color w:val="1F3864"/>
        <w:sz w:val="18"/>
        <w:szCs w:val="18"/>
        <w:u w:color="1F3864"/>
      </w:rPr>
      <w:t>a.speed@unison.co.uk</w:t>
    </w:r>
    <w:r>
      <w:rPr>
        <w:rFonts w:ascii="Arial Narrow" w:hAnsi="Arial Narrow"/>
        <w:color w:val="1F3864"/>
        <w:sz w:val="18"/>
        <w:szCs w:val="18"/>
        <w:u w:color="1F3864"/>
      </w:rPr>
      <w:tab/>
    </w:r>
    <w:r>
      <w:rPr>
        <w:rFonts w:ascii="Arial Narrow" w:hAnsi="Arial Narrow"/>
        <w:b/>
        <w:bCs/>
        <w:color w:val="2E74B5"/>
        <w:sz w:val="18"/>
        <w:szCs w:val="18"/>
        <w:u w:color="2E74B5"/>
      </w:rPr>
      <w:t>E:</w:t>
    </w:r>
    <w:r>
      <w:t xml:space="preserve"> </w:t>
    </w:r>
    <w:r>
      <w:rPr>
        <w:rFonts w:ascii="Arial Narrow" w:hAnsi="Arial Narrow"/>
        <w:color w:val="1F3864"/>
        <w:sz w:val="18"/>
        <w:szCs w:val="18"/>
        <w:u w:color="1F3864"/>
      </w:rPr>
      <w:t>jim.donley@gmb.co.uk</w:t>
    </w:r>
    <w:r>
      <w:rPr>
        <w:rFonts w:ascii="Arial Narrow" w:hAnsi="Arial Narrow"/>
        <w:color w:val="1F3864"/>
        <w:sz w:val="18"/>
        <w:szCs w:val="18"/>
        <w:u w:color="1F3864"/>
      </w:rPr>
      <w:tab/>
    </w:r>
    <w:r>
      <w:rPr>
        <w:rFonts w:ascii="Arial Narrow" w:hAnsi="Arial Narrow"/>
        <w:b/>
        <w:bCs/>
        <w:color w:val="2E74B5"/>
        <w:sz w:val="18"/>
        <w:szCs w:val="18"/>
        <w:u w:color="2E74B5"/>
      </w:rPr>
      <w:t xml:space="preserve">E: </w:t>
    </w:r>
    <w:r>
      <w:rPr>
        <w:rFonts w:ascii="Arial Narrow" w:hAnsi="Arial Narrow"/>
        <w:color w:val="1F3864"/>
        <w:sz w:val="18"/>
        <w:szCs w:val="18"/>
        <w:u w:color="1F3864"/>
      </w:rPr>
      <w:t>kieran.ellison@unitetheunion.org</w:t>
    </w:r>
    <w:r>
      <w:rPr>
        <w:rFonts w:ascii="Arial Narrow" w:hAnsi="Arial Narrow"/>
        <w:color w:val="1F3864"/>
        <w:sz w:val="18"/>
        <w:szCs w:val="18"/>
        <w:u w:color="1F3864"/>
      </w:rPr>
      <w:tab/>
    </w:r>
    <w:r>
      <w:rPr>
        <w:rFonts w:ascii="Arial Narrow" w:hAnsi="Arial Narrow"/>
        <w:b/>
        <w:bCs/>
        <w:color w:val="2E74B5"/>
        <w:sz w:val="18"/>
        <w:szCs w:val="18"/>
        <w:u w:color="2E74B5"/>
      </w:rPr>
      <w:t xml:space="preserve">E: </w:t>
    </w:r>
    <w:r>
      <w:rPr>
        <w:rFonts w:ascii="Arial Narrow" w:hAnsi="Arial Narrow"/>
        <w:color w:val="1F3864"/>
        <w:sz w:val="18"/>
        <w:szCs w:val="18"/>
        <w:u w:color="1F3864"/>
      </w:rPr>
      <w:t>heather.mckinstry@eani.org.uk</w:t>
    </w:r>
  </w:p>
  <w:p w:rsidR="001A02BE" w:rsidRDefault="001A02BE">
    <w:pPr>
      <w:pStyle w:val="Footer"/>
      <w:tabs>
        <w:tab w:val="clear" w:pos="4513"/>
        <w:tab w:val="clear" w:pos="9026"/>
        <w:tab w:val="left" w:pos="2127"/>
        <w:tab w:val="left" w:pos="4111"/>
        <w:tab w:val="left" w:pos="6096"/>
        <w:tab w:val="left" w:pos="8789"/>
        <w:tab w:val="left" w:pos="8931"/>
      </w:tabs>
      <w:ind w:right="1"/>
      <w:jc w:val="both"/>
      <w:rPr>
        <w:rFonts w:ascii="Arial Narrow" w:eastAsia="Arial Narrow" w:hAnsi="Arial Narrow" w:cs="Arial Narrow"/>
        <w:color w:val="1F3864"/>
        <w:sz w:val="18"/>
        <w:szCs w:val="18"/>
        <w:u w:color="1F3864"/>
      </w:rPr>
    </w:pPr>
  </w:p>
  <w:p w:rsidR="001A02BE" w:rsidRDefault="00CD430C">
    <w:pPr>
      <w:pStyle w:val="Footer"/>
      <w:tabs>
        <w:tab w:val="clear" w:pos="4513"/>
        <w:tab w:val="clear" w:pos="9026"/>
        <w:tab w:val="left" w:pos="2127"/>
        <w:tab w:val="left" w:pos="4111"/>
        <w:tab w:val="left" w:pos="6237"/>
        <w:tab w:val="left" w:pos="8931"/>
      </w:tabs>
      <w:ind w:right="1"/>
      <w:jc w:val="both"/>
      <w:rPr>
        <w:rFonts w:ascii="Arial Narrow" w:eastAsia="Arial Narrow" w:hAnsi="Arial Narrow" w:cs="Arial Narrow"/>
        <w:color w:val="A6A6A6"/>
        <w:sz w:val="11"/>
        <w:szCs w:val="11"/>
        <w:u w:color="A6A6A6"/>
      </w:rPr>
    </w:pPr>
    <w:r>
      <w:rPr>
        <w:rFonts w:ascii="Arial Narrow" w:hAnsi="Arial Narrow"/>
        <w:color w:val="A6A6A6"/>
        <w:sz w:val="11"/>
        <w:szCs w:val="11"/>
        <w:u w:color="A6A6A6"/>
      </w:rPr>
      <w:t>40154</w:t>
    </w:r>
  </w:p>
  <w:p w:rsidR="001A02BE" w:rsidRDefault="001A02BE">
    <w:pPr>
      <w:pStyle w:val="Footer"/>
      <w:tabs>
        <w:tab w:val="clear" w:pos="4513"/>
        <w:tab w:val="clear" w:pos="9026"/>
        <w:tab w:val="left" w:pos="2410"/>
        <w:tab w:val="left" w:pos="4678"/>
        <w:tab w:val="left" w:pos="6804"/>
        <w:tab w:val="left" w:pos="8647"/>
      </w:tabs>
      <w:ind w:right="1"/>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0D7" w:rsidRDefault="001850D7">
      <w:r>
        <w:separator/>
      </w:r>
    </w:p>
  </w:footnote>
  <w:footnote w:type="continuationSeparator" w:id="0">
    <w:p w:rsidR="001850D7" w:rsidRDefault="00185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BE" w:rsidRDefault="00CD430C">
    <w:pPr>
      <w:pStyle w:val="Header"/>
    </w:pPr>
    <w:r>
      <w:rPr>
        <w:noProof/>
        <w:lang w:val="en-GB"/>
      </w:rPr>
      <w:drawing>
        <wp:inline distT="0" distB="0" distL="0" distR="0">
          <wp:extent cx="2886456" cy="731520"/>
          <wp:effectExtent l="0" t="0" r="0" b="0"/>
          <wp:docPr id="1073741825" name="officeArt object" descr="Ref A4_0569-3.jpg"/>
          <wp:cNvGraphicFramePr/>
          <a:graphic xmlns:a="http://schemas.openxmlformats.org/drawingml/2006/main">
            <a:graphicData uri="http://schemas.openxmlformats.org/drawingml/2006/picture">
              <pic:pic xmlns:pic="http://schemas.openxmlformats.org/drawingml/2006/picture">
                <pic:nvPicPr>
                  <pic:cNvPr id="1073741825" name="Ref A4_0569-3.jpg" descr="Ref A4_0569-3.jpg"/>
                  <pic:cNvPicPr>
                    <a:picLocks noChangeAspect="1"/>
                  </pic:cNvPicPr>
                </pic:nvPicPr>
                <pic:blipFill>
                  <a:blip r:embed="rId1">
                    <a:extLst/>
                  </a:blip>
                  <a:stretch>
                    <a:fillRect/>
                  </a:stretch>
                </pic:blipFill>
                <pic:spPr>
                  <a:xfrm>
                    <a:off x="0" y="0"/>
                    <a:ext cx="2886456" cy="73152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BE" w:rsidRDefault="00CD430C">
    <w:pPr>
      <w:pStyle w:val="Header"/>
      <w:ind w:firstLine="284"/>
    </w:pPr>
    <w:r>
      <w:rPr>
        <w:noProof/>
        <w:lang w:val="en-GB"/>
      </w:rPr>
      <w:drawing>
        <wp:inline distT="0" distB="0" distL="0" distR="0">
          <wp:extent cx="4495800" cy="1414273"/>
          <wp:effectExtent l="0" t="0" r="0" b="0"/>
          <wp:docPr id="1073741826" name="officeArt object" descr="Ref A4_0569.jpg"/>
          <wp:cNvGraphicFramePr/>
          <a:graphic xmlns:a="http://schemas.openxmlformats.org/drawingml/2006/main">
            <a:graphicData uri="http://schemas.openxmlformats.org/drawingml/2006/picture">
              <pic:pic xmlns:pic="http://schemas.openxmlformats.org/drawingml/2006/picture">
                <pic:nvPicPr>
                  <pic:cNvPr id="1073741826" name="Ref A4_0569.jpg" descr="Ref A4_0569.jpg"/>
                  <pic:cNvPicPr>
                    <a:picLocks noChangeAspect="1"/>
                  </pic:cNvPicPr>
                </pic:nvPicPr>
                <pic:blipFill>
                  <a:blip r:embed="rId1">
                    <a:extLst/>
                  </a:blip>
                  <a:stretch>
                    <a:fillRect/>
                  </a:stretch>
                </pic:blipFill>
                <pic:spPr>
                  <a:xfrm>
                    <a:off x="0" y="0"/>
                    <a:ext cx="4495800" cy="141427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A1C57"/>
    <w:multiLevelType w:val="hybridMultilevel"/>
    <w:tmpl w:val="E0D025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BE"/>
    <w:rsid w:val="001850D7"/>
    <w:rsid w:val="001A02BE"/>
    <w:rsid w:val="00B36E4C"/>
    <w:rsid w:val="00C22CA5"/>
    <w:rsid w:val="00CD4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0863"/>
  <w15:docId w15:val="{E0A57D66-B1DE-4C2F-A2A0-0D53783E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lang w:val="en-US"/>
    </w:rPr>
  </w:style>
  <w:style w:type="paragraph" w:styleId="Footer">
    <w:name w:val="footer"/>
    <w:pPr>
      <w:tabs>
        <w:tab w:val="center" w:pos="4513"/>
        <w:tab w:val="right" w:pos="9026"/>
      </w:tabs>
    </w:pPr>
    <w:rPr>
      <w:rFonts w:ascii="Calibri" w:hAnsi="Calibri" w:cs="Arial Unicode MS"/>
      <w:color w:val="000000"/>
      <w:sz w:val="24"/>
      <w:szCs w:val="24"/>
      <w:u w:color="000000"/>
      <w:lang w:val="en-US"/>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ListParagraph">
    <w:name w:val="List Paragraph"/>
    <w:basedOn w:val="Normal"/>
    <w:uiPriority w:val="34"/>
    <w:qFormat/>
    <w:rsid w:val="00CD430C"/>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5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1557</Words>
  <Characters>8877</Characters>
  <Application>Microsoft Office Word</Application>
  <DocSecurity>0</DocSecurity>
  <Lines>73</Lines>
  <Paragraphs>20</Paragraphs>
  <ScaleCrop>false</ScaleCrop>
  <Company>EANI</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McKinstry</dc:creator>
  <cp:lastModifiedBy>Heather McKinstry</cp:lastModifiedBy>
  <cp:revision>4</cp:revision>
  <dcterms:created xsi:type="dcterms:W3CDTF">2021-01-09T17:44:00Z</dcterms:created>
  <dcterms:modified xsi:type="dcterms:W3CDTF">2021-01-09T17:52:00Z</dcterms:modified>
</cp:coreProperties>
</file>