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44127AB5"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13FA4F7E">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52A1E87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3A08BED1" w:rsidR="00DF4F72" w:rsidRDefault="007C5C31"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7FC22E2A" wp14:editId="54484ECC">
            <wp:extent cx="2314575" cy="4176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5263" cy="421363"/>
                    </a:xfrm>
                    <a:prstGeom prst="rect">
                      <a:avLst/>
                    </a:prstGeom>
                    <a:noFill/>
                  </pic:spPr>
                </pic:pic>
              </a:graphicData>
            </a:graphic>
          </wp:inline>
        </w:drawing>
      </w:r>
    </w:p>
    <w:p w14:paraId="3BD971CE" w14:textId="0EB0A11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5DE87200"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3D397B8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0B3AA8CC"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225DFA">
        <w:rPr>
          <w:rFonts w:ascii="Arial" w:eastAsia="Times New Roman" w:hAnsi="Arial" w:cs="Times New Roman"/>
          <w:b/>
          <w:sz w:val="44"/>
          <w:szCs w:val="44"/>
          <w:lang w:val="en-GB" w:eastAsia="en-GB"/>
        </w:rPr>
        <w:t>Western</w:t>
      </w:r>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46A58BD"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1631C7">
        <w:rPr>
          <w:rFonts w:ascii="Arial" w:eastAsia="Times New Roman" w:hAnsi="Arial" w:cs="Times New Roman"/>
          <w:b/>
          <w:color w:val="FF0000"/>
          <w:sz w:val="44"/>
          <w:szCs w:val="44"/>
          <w:lang w:val="en-GB" w:eastAsia="en-GB"/>
        </w:rPr>
        <w:t>8</w:t>
      </w:r>
      <w:r w:rsidR="00394B54" w:rsidRPr="00394B54">
        <w:rPr>
          <w:rFonts w:ascii="Arial" w:eastAsia="Times New Roman" w:hAnsi="Arial" w:cs="Times New Roman"/>
          <w:b/>
          <w:color w:val="FF0000"/>
          <w:sz w:val="44"/>
          <w:szCs w:val="44"/>
          <w:vertAlign w:val="superscript"/>
          <w:lang w:val="en-GB" w:eastAsia="en-GB"/>
        </w:rPr>
        <w:t>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1631C7">
        <w:rPr>
          <w:rFonts w:ascii="Arial" w:eastAsia="Times New Roman" w:hAnsi="Arial" w:cs="Times New Roman"/>
          <w:b/>
          <w:color w:val="FF0000"/>
          <w:sz w:val="44"/>
          <w:szCs w:val="44"/>
          <w:lang w:val="en-GB" w:eastAsia="en-GB"/>
        </w:rPr>
        <w:t>2</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6201B0"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065358A7" w:rsidR="008540BF" w:rsidRDefault="00225DFA"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Paula Ramsey</w:t>
      </w:r>
    </w:p>
    <w:p w14:paraId="46919A4B" w14:textId="6DA7634B" w:rsidR="00AE25D8" w:rsidRDefault="00225DFA" w:rsidP="00CA5792">
      <w:pPr>
        <w:spacing w:after="0" w:line="240" w:lineRule="auto"/>
        <w:jc w:val="center"/>
        <w:rPr>
          <w:rFonts w:ascii="Arial" w:eastAsia="Times New Roman" w:hAnsi="Arial" w:cs="Arial"/>
          <w:b/>
          <w:sz w:val="28"/>
          <w:szCs w:val="28"/>
          <w:lang w:val="en-GB"/>
        </w:rPr>
      </w:pPr>
      <w:hyperlink r:id="rId14" w:history="1">
        <w:r w:rsidRPr="00927B0C">
          <w:rPr>
            <w:rStyle w:val="Hyperlink"/>
            <w:rFonts w:ascii="Arial" w:eastAsia="Times New Roman" w:hAnsi="Arial" w:cs="Arial"/>
            <w:b/>
            <w:sz w:val="28"/>
            <w:szCs w:val="28"/>
            <w:lang w:val="en-GB"/>
          </w:rPr>
          <w:t>paula.ramsey@westerntrust.</w:t>
        </w:r>
        <w:r w:rsidRPr="00927B0C">
          <w:rPr>
            <w:rStyle w:val="Hyperlink"/>
            <w:rFonts w:ascii="Arial" w:eastAsia="Times New Roman" w:hAnsi="Arial" w:cs="Arial"/>
            <w:b/>
            <w:sz w:val="28"/>
            <w:szCs w:val="28"/>
          </w:rPr>
          <w: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7871A924" w:rsidR="00B52CF6" w:rsidRDefault="00B52CF6" w:rsidP="00CA5792">
      <w:pPr>
        <w:spacing w:after="0" w:line="240" w:lineRule="auto"/>
        <w:rPr>
          <w:rFonts w:ascii="Calibri" w:eastAsia="Times New Roman" w:hAnsi="Calibri" w:cs="Calibri"/>
          <w:sz w:val="24"/>
          <w:szCs w:val="24"/>
          <w:lang w:val="en-GB" w:eastAsia="en-GB"/>
        </w:rPr>
      </w:pPr>
    </w:p>
    <w:p w14:paraId="6DAB0A5C" w14:textId="37BA5D3D" w:rsidR="00B52CF6" w:rsidRDefault="007C5C31"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inline distT="0" distB="0" distL="0" distR="0" wp14:anchorId="0397CFFF" wp14:editId="0C61B703">
            <wp:extent cx="2432050" cy="438826"/>
            <wp:effectExtent l="0" t="0" r="635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2713" cy="442554"/>
                    </a:xfrm>
                    <a:prstGeom prst="rect">
                      <a:avLst/>
                    </a:prstGeom>
                    <a:noFill/>
                  </pic:spPr>
                </pic:pic>
              </a:graphicData>
            </a:graphic>
          </wp:inline>
        </w:drawing>
      </w:r>
    </w:p>
    <w:p w14:paraId="18D23A01" w14:textId="3FDAEC48" w:rsidR="00B52CF6" w:rsidRDefault="00B52CF6" w:rsidP="00CA5792">
      <w:pPr>
        <w:spacing w:after="0" w:line="240" w:lineRule="auto"/>
        <w:rPr>
          <w:rFonts w:ascii="Calibri" w:eastAsia="Times New Roman" w:hAnsi="Calibri" w:cs="Calibri"/>
          <w:sz w:val="24"/>
          <w:szCs w:val="24"/>
          <w:lang w:val="en-GB" w:eastAsia="en-GB"/>
        </w:rPr>
      </w:pPr>
    </w:p>
    <w:p w14:paraId="4199B82A" w14:textId="015BAD39" w:rsidR="00B52CF6" w:rsidRDefault="00B52CF6" w:rsidP="00CA5792">
      <w:pPr>
        <w:spacing w:after="0" w:line="240" w:lineRule="auto"/>
        <w:rPr>
          <w:rFonts w:ascii="Calibri" w:eastAsia="Times New Roman" w:hAnsi="Calibri" w:cs="Calibri"/>
          <w:sz w:val="24"/>
          <w:szCs w:val="24"/>
          <w:lang w:val="en-GB" w:eastAsia="en-GB"/>
        </w:rPr>
      </w:pPr>
    </w:p>
    <w:p w14:paraId="4AF6A921" w14:textId="1958AB5A" w:rsidR="00B52CF6" w:rsidRDefault="00B52CF6" w:rsidP="00CA5792">
      <w:pPr>
        <w:spacing w:after="0" w:line="240" w:lineRule="auto"/>
        <w:rPr>
          <w:rFonts w:ascii="Calibri" w:eastAsia="Times New Roman" w:hAnsi="Calibri" w:cs="Calibri"/>
          <w:sz w:val="24"/>
          <w:szCs w:val="24"/>
          <w:lang w:val="en-GB" w:eastAsia="en-GB"/>
        </w:rPr>
      </w:pPr>
    </w:p>
    <w:p w14:paraId="2B864AB5" w14:textId="1295F391"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10F81511"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225DFA">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6F35E314"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1631C7">
        <w:rPr>
          <w:rFonts w:ascii="Calibri" w:eastAsia="Times New Roman" w:hAnsi="Calibri" w:cs="Calibri"/>
          <w:sz w:val="24"/>
          <w:szCs w:val="24"/>
          <w:lang w:val="en-GB" w:eastAsia="en-GB"/>
        </w:rPr>
        <w:t>2.</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5722860C"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225DFA">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2FA83009"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F757B0">
        <w:rPr>
          <w:rFonts w:eastAsia="Times New Roman" w:cstheme="minorHAnsi"/>
          <w:sz w:val="24"/>
          <w:szCs w:val="24"/>
          <w:lang w:eastAsia="en-GB"/>
        </w:rPr>
        <w:t>1</w:t>
      </w:r>
      <w:r w:rsidRPr="00394B54">
        <w:rPr>
          <w:rFonts w:eastAsia="Times New Roman" w:cstheme="minorHAnsi"/>
          <w:sz w:val="24"/>
          <w:szCs w:val="24"/>
          <w:lang w:eastAsia="en-GB"/>
        </w:rPr>
        <w:t>/2</w:t>
      </w:r>
      <w:r w:rsidR="00F757B0">
        <w:rPr>
          <w:rFonts w:eastAsia="Times New Roman" w:cstheme="minorHAnsi"/>
          <w:sz w:val="24"/>
          <w:szCs w:val="24"/>
          <w:lang w:eastAsia="en-GB"/>
        </w:rPr>
        <w:t>2</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35A5046D"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D850812"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2E3D6ABC">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535B746A" w:rsidR="00CA5792" w:rsidRPr="00CA5792" w:rsidRDefault="007C5C31"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anchor distT="0" distB="0" distL="114300" distR="114300" simplePos="0" relativeHeight="251684864" behindDoc="0" locked="0" layoutInCell="1" allowOverlap="1" wp14:anchorId="0B6FC0CB" wp14:editId="444A81BC">
            <wp:simplePos x="0" y="0"/>
            <wp:positionH relativeFrom="column">
              <wp:posOffset>-112395</wp:posOffset>
            </wp:positionH>
            <wp:positionV relativeFrom="paragraph">
              <wp:posOffset>85725</wp:posOffset>
            </wp:positionV>
            <wp:extent cx="2481090" cy="447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1090" cy="447675"/>
                    </a:xfrm>
                    <a:prstGeom prst="rect">
                      <a:avLst/>
                    </a:prstGeom>
                    <a:noFill/>
                  </pic:spPr>
                </pic:pic>
              </a:graphicData>
            </a:graphic>
          </wp:anchor>
        </w:drawing>
      </w:r>
    </w:p>
    <w:p w14:paraId="57AA9F6C" w14:textId="2EB43B80"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51BDCE5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23FCA20B"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7F3BE15D"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225DFA">
        <w:rPr>
          <w:rFonts w:ascii="Calibri" w:eastAsia="Times New Roman" w:hAnsi="Calibri" w:cs="Calibri"/>
          <w:sz w:val="24"/>
          <w:szCs w:val="24"/>
          <w:lang w:val="en-GB" w:eastAsia="en-GB"/>
        </w:rPr>
        <w:t>Western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6480BC4"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proofErr w:type="gramStart"/>
      <w:r w:rsidR="00225DFA">
        <w:rPr>
          <w:rFonts w:ascii="Calibri" w:eastAsia="Times New Roman" w:hAnsi="Calibri" w:cs="Calibri"/>
          <w:bCs/>
          <w:color w:val="000000"/>
          <w:sz w:val="24"/>
          <w:szCs w:val="24"/>
          <w:lang w:val="en-GB" w:eastAsia="en-GB"/>
        </w:rPr>
        <w:t xml:space="preserve">Belfast </w:t>
      </w:r>
      <w:r w:rsidRPr="005632DF">
        <w:rPr>
          <w:rFonts w:ascii="Calibri" w:eastAsia="Times New Roman" w:hAnsi="Calibri" w:cs="Calibri"/>
          <w:bCs/>
          <w:color w:val="000000"/>
          <w:sz w:val="24"/>
          <w:szCs w:val="24"/>
          <w:lang w:val="en-GB" w:eastAsia="en-GB"/>
        </w:rPr>
        <w:t>.</w:t>
      </w:r>
      <w:proofErr w:type="gramEnd"/>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sidRPr="005632DF">
        <w:rPr>
          <w:rFonts w:ascii="Calibri" w:eastAsia="Times New Roman" w:hAnsi="Calibri" w:cs="Calibri"/>
          <w:bCs/>
          <w:color w:val="000000"/>
          <w:sz w:val="24"/>
          <w:szCs w:val="24"/>
          <w:lang w:val="en-GB" w:eastAsia="en-GB"/>
        </w:rPr>
        <w:t>from domestic homes,</w:t>
      </w:r>
      <w:proofErr w:type="gramEnd"/>
      <w:r w:rsidRPr="005632DF">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lastRenderedPageBreak/>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764C66B7"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94701C">
        <w:rPr>
          <w:rFonts w:ascii="Calibri" w:eastAsia="Times New Roman" w:hAnsi="Calibri" w:cs="Calibri"/>
          <w:sz w:val="24"/>
          <w:szCs w:val="24"/>
          <w:lang w:val="en-GB" w:eastAsia="en-GB"/>
        </w:rPr>
        <w:t>2</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94701C">
        <w:rPr>
          <w:rFonts w:ascii="Calibri" w:eastAsia="Times New Roman" w:hAnsi="Calibri" w:cs="Calibri"/>
          <w:sz w:val="24"/>
          <w:szCs w:val="24"/>
          <w:lang w:val="en-GB" w:eastAsia="en-GB"/>
        </w:rPr>
        <w:t>3</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5AD80C87"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94701C">
        <w:rPr>
          <w:rFonts w:ascii="Calibri" w:eastAsia="Times New Roman" w:hAnsi="Calibri" w:cs="Calibri"/>
          <w:color w:val="000000"/>
          <w:sz w:val="24"/>
          <w:szCs w:val="24"/>
          <w:lang w:val="en-GB" w:eastAsia="en-GB"/>
        </w:rPr>
        <w:t>3</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26F997D"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2B3E3497"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6D1F06">
        <w:rPr>
          <w:rFonts w:ascii="Calibri" w:eastAsia="Times New Roman" w:hAnsi="Calibri" w:cs="Calibri"/>
          <w:sz w:val="24"/>
          <w:szCs w:val="24"/>
          <w:lang w:val="en-GB" w:eastAsia="en-GB"/>
        </w:rPr>
        <w:t>2</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6D1F06">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6D1F06">
        <w:rPr>
          <w:rFonts w:ascii="Calibri" w:eastAsia="Times New Roman" w:hAnsi="Calibri" w:cs="Calibri"/>
          <w:color w:val="000000"/>
          <w:sz w:val="24"/>
          <w:szCs w:val="24"/>
          <w:lang w:val="en-GB" w:eastAsia="en-GB"/>
        </w:rPr>
        <w:t>3</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7DDAF425"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225DFA">
        <w:rPr>
          <w:rFonts w:ascii="Calibri" w:eastAsia="Times New Roman" w:hAnsi="Calibri" w:cs="Calibri"/>
          <w:color w:val="000000"/>
          <w:sz w:val="24"/>
          <w:szCs w:val="24"/>
          <w:lang w:val="en-GB" w:eastAsia="en-GB"/>
        </w:rPr>
        <w:t>Western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2D8FAD24" w14:textId="77777777" w:rsidR="007C5C31" w:rsidRDefault="007C5C31" w:rsidP="00CA5792">
      <w:pPr>
        <w:spacing w:after="0" w:line="240" w:lineRule="auto"/>
        <w:jc w:val="both"/>
        <w:rPr>
          <w:rFonts w:ascii="Calibri" w:eastAsia="Times New Roman" w:hAnsi="Calibri" w:cs="Calibri"/>
          <w:b/>
          <w:sz w:val="24"/>
          <w:szCs w:val="24"/>
          <w:lang w:val="en-GB" w:eastAsia="en-GB"/>
        </w:rPr>
      </w:pPr>
    </w:p>
    <w:p w14:paraId="04EE8422" w14:textId="244CB38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sidRPr="00CA5792">
        <w:rPr>
          <w:rFonts w:ascii="Calibri" w:eastAsia="Times New Roman" w:hAnsi="Calibri" w:cs="Calibri"/>
          <w:sz w:val="24"/>
          <w:szCs w:val="24"/>
          <w:lang w:val="en-GB" w:eastAsia="en-GB"/>
        </w:rPr>
        <w:t>labs</w:t>
      </w:r>
      <w:proofErr w:type="gramEnd"/>
      <w:r w:rsidRPr="00CA5792">
        <w:rPr>
          <w:rFonts w:ascii="Calibri" w:eastAsia="Times New Roman" w:hAnsi="Calibri" w:cs="Calibri"/>
          <w:sz w:val="24"/>
          <w:szCs w:val="24"/>
          <w:lang w:val="en-GB" w:eastAsia="en-GB"/>
        </w:rPr>
        <w:t xml:space="preserve">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769185D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1</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3AE71F03" w:rsidR="00CA5792" w:rsidRPr="00CA5792" w:rsidRDefault="00116867" w:rsidP="00CA5792">
      <w:pPr>
        <w:spacing w:after="0" w:line="240" w:lineRule="auto"/>
        <w:jc w:val="both"/>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lastRenderedPageBreak/>
        <w:drawing>
          <wp:anchor distT="0" distB="0" distL="114300" distR="114300" simplePos="0" relativeHeight="251683840" behindDoc="0" locked="0" layoutInCell="1" allowOverlap="1" wp14:anchorId="0761F7BA" wp14:editId="1CABA643">
            <wp:simplePos x="0" y="0"/>
            <wp:positionH relativeFrom="column">
              <wp:posOffset>5066030</wp:posOffset>
            </wp:positionH>
            <wp:positionV relativeFrom="paragraph">
              <wp:posOffset>22225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p>
    <w:p w14:paraId="5E721829" w14:textId="055D228D"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490D0925">
            <wp:simplePos x="0" y="0"/>
            <wp:positionH relativeFrom="margin">
              <wp:posOffset>3221355</wp:posOffset>
            </wp:positionH>
            <wp:positionV relativeFrom="paragraph">
              <wp:posOffset>4445</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CA5792" w:rsidRPr="00CA5792">
        <w:rPr>
          <w:rFonts w:ascii="Times New Roman" w:eastAsia="Times New Roman" w:hAnsi="Times New Roman" w:cs="Times New Roman"/>
          <w:sz w:val="20"/>
          <w:szCs w:val="20"/>
          <w:lang w:val="en-GB" w:eastAsia="en-GB"/>
        </w:rPr>
        <w:t xml:space="preserve">                                        </w:t>
      </w:r>
    </w:p>
    <w:p w14:paraId="109762F1" w14:textId="4F8EA7F2" w:rsidR="007A391D" w:rsidRDefault="007C5C31"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5888" behindDoc="0" locked="0" layoutInCell="1" allowOverlap="1" wp14:anchorId="0D48408C" wp14:editId="07645E6B">
            <wp:simplePos x="0" y="0"/>
            <wp:positionH relativeFrom="column">
              <wp:posOffset>208280</wp:posOffset>
            </wp:positionH>
            <wp:positionV relativeFrom="paragraph">
              <wp:posOffset>31115</wp:posOffset>
            </wp:positionV>
            <wp:extent cx="2044700" cy="3689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368935"/>
                    </a:xfrm>
                    <a:prstGeom prst="rect">
                      <a:avLst/>
                    </a:prstGeom>
                    <a:noFill/>
                  </pic:spPr>
                </pic:pic>
              </a:graphicData>
            </a:graphic>
            <wp14:sizeRelH relativeFrom="page">
              <wp14:pctWidth>0</wp14:pctWidth>
            </wp14:sizeRelH>
            <wp14:sizeRelV relativeFrom="page">
              <wp14:pctHeight>0</wp14:pctHeight>
            </wp14:sizeRelV>
          </wp:anchor>
        </w:drawing>
      </w:r>
    </w:p>
    <w:p w14:paraId="4B13C47F" w14:textId="54CCCAD8"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BFD254C"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0331E3DD"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32165B58"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225DFA">
        <w:rPr>
          <w:rFonts w:ascii="Calibri" w:eastAsia="Times New Roman" w:hAnsi="Calibri" w:cs="Calibri"/>
          <w:b/>
          <w:sz w:val="24"/>
          <w:szCs w:val="24"/>
          <w:lang w:val="en-GB" w:eastAsia="en-GB"/>
        </w:rPr>
        <w:t>Western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Applicant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Line Manager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0DE626E5" w:rsidR="004A735D" w:rsidRDefault="004A735D" w:rsidP="00C00489">
      <w:pPr>
        <w:spacing w:after="0" w:line="240" w:lineRule="auto"/>
        <w:jc w:val="center"/>
        <w:textAlignment w:val="baseline"/>
        <w:rPr>
          <w:rFonts w:ascii="Calibri" w:eastAsia="Times New Roman" w:hAnsi="Calibri" w:cs="Calibri"/>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C00489">
        <w:rPr>
          <w:rFonts w:ascii="Calibri" w:eastAsia="Times New Roman" w:hAnsi="Calibri" w:cs="Calibri"/>
          <w:b/>
          <w:bCs/>
          <w:sz w:val="28"/>
          <w:szCs w:val="28"/>
          <w:lang w:val="en-GB" w:eastAsia="en-GB"/>
        </w:rPr>
        <w:t>8</w:t>
      </w:r>
      <w:r w:rsidR="00C00489" w:rsidRPr="00C00489">
        <w:rPr>
          <w:rFonts w:ascii="Calibri" w:eastAsia="Times New Roman" w:hAnsi="Calibri" w:cs="Calibri"/>
          <w:b/>
          <w:bCs/>
          <w:sz w:val="28"/>
          <w:szCs w:val="28"/>
          <w:vertAlign w:val="superscript"/>
          <w:lang w:val="en-GB" w:eastAsia="en-GB"/>
        </w:rPr>
        <w:t>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C00489">
        <w:rPr>
          <w:rFonts w:ascii="Calibri" w:eastAsia="Times New Roman" w:hAnsi="Calibri" w:cs="Calibri"/>
          <w:b/>
          <w:bCs/>
          <w:sz w:val="28"/>
          <w:szCs w:val="28"/>
          <w:lang w:val="en-GB" w:eastAsia="en-GB"/>
        </w:rPr>
        <w:t>2</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516ED776" w14:textId="77777777" w:rsidR="007C5C31" w:rsidRPr="00C00489" w:rsidRDefault="007C5C31" w:rsidP="00C00489">
      <w:pPr>
        <w:spacing w:after="0" w:line="240" w:lineRule="auto"/>
        <w:jc w:val="center"/>
        <w:textAlignment w:val="baseline"/>
        <w:rPr>
          <w:rFonts w:ascii="Calibri" w:eastAsia="Times New Roman" w:hAnsi="Calibri" w:cs="Calibri"/>
          <w:b/>
          <w:bCs/>
          <w:sz w:val="28"/>
          <w:szCs w:val="28"/>
          <w:lang w:val="en-GB" w:eastAsia="en-GB"/>
        </w:rPr>
      </w:pPr>
    </w:p>
    <w:p w14:paraId="26B85001" w14:textId="6DEBE612" w:rsidR="007C5C31" w:rsidRPr="00394B54" w:rsidRDefault="00225DFA" w:rsidP="007C5C31">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Paula Ramsey</w:t>
      </w:r>
    </w:p>
    <w:p w14:paraId="14C81BE5" w14:textId="61465172" w:rsidR="00204183" w:rsidRDefault="007C5C31" w:rsidP="00204183">
      <w:pPr>
        <w:spacing w:after="0" w:line="240" w:lineRule="auto"/>
        <w:jc w:val="center"/>
        <w:rPr>
          <w:rFonts w:ascii="Arial" w:eastAsia="Times New Roman" w:hAnsi="Arial" w:cs="Arial"/>
          <w:b/>
          <w:sz w:val="28"/>
          <w:szCs w:val="28"/>
          <w:lang w:val="en-GB"/>
        </w:rPr>
      </w:pPr>
      <w:hyperlink r:id="rId23" w:history="1">
        <w:r w:rsidRPr="00927B0C">
          <w:rPr>
            <w:rStyle w:val="Hyperlink"/>
            <w:rFonts w:ascii="Arial" w:eastAsia="Times New Roman" w:hAnsi="Arial" w:cs="Arial"/>
            <w:b/>
            <w:sz w:val="28"/>
            <w:szCs w:val="28"/>
            <w:lang w:val="en-GB"/>
          </w:rPr>
          <w:t>paula.ramsey@western</w:t>
        </w:r>
        <w:r w:rsidRPr="00927B0C">
          <w:rPr>
            <w:rStyle w:val="Hyperlink"/>
            <w:rFonts w:ascii="Arial" w:eastAsia="Times New Roman" w:hAnsi="Arial" w:cs="Arial"/>
            <w:b/>
            <w:sz w:val="28"/>
            <w:szCs w:val="28"/>
          </w:rPr>
          <w:t>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FAEB8AD"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4"/>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7662" w14:textId="77777777" w:rsidR="006201B0" w:rsidRDefault="006201B0">
      <w:pPr>
        <w:spacing w:after="0" w:line="240" w:lineRule="auto"/>
      </w:pPr>
      <w:r>
        <w:separator/>
      </w:r>
    </w:p>
  </w:endnote>
  <w:endnote w:type="continuationSeparator" w:id="0">
    <w:p w14:paraId="5B885106" w14:textId="77777777" w:rsidR="006201B0" w:rsidRDefault="0062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F7BD" w14:textId="77777777" w:rsidR="006201B0" w:rsidRDefault="006201B0">
      <w:pPr>
        <w:spacing w:after="0" w:line="240" w:lineRule="auto"/>
      </w:pPr>
      <w:r>
        <w:separator/>
      </w:r>
    </w:p>
  </w:footnote>
  <w:footnote w:type="continuationSeparator" w:id="0">
    <w:p w14:paraId="3D6D3519" w14:textId="77777777" w:rsidR="006201B0" w:rsidRDefault="0062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E7ED4"/>
    <w:rsid w:val="00116867"/>
    <w:rsid w:val="00125E27"/>
    <w:rsid w:val="001308B7"/>
    <w:rsid w:val="00142B6D"/>
    <w:rsid w:val="00146A3A"/>
    <w:rsid w:val="001518D3"/>
    <w:rsid w:val="001631C7"/>
    <w:rsid w:val="001B067B"/>
    <w:rsid w:val="001B1F30"/>
    <w:rsid w:val="001C5643"/>
    <w:rsid w:val="00204183"/>
    <w:rsid w:val="002224BC"/>
    <w:rsid w:val="00225DFA"/>
    <w:rsid w:val="00244F8C"/>
    <w:rsid w:val="00252CA0"/>
    <w:rsid w:val="00292700"/>
    <w:rsid w:val="002C299A"/>
    <w:rsid w:val="002C47DA"/>
    <w:rsid w:val="002E2ACF"/>
    <w:rsid w:val="00394B54"/>
    <w:rsid w:val="003B1BF8"/>
    <w:rsid w:val="003B3DEC"/>
    <w:rsid w:val="003D77E9"/>
    <w:rsid w:val="00415887"/>
    <w:rsid w:val="00424E7A"/>
    <w:rsid w:val="00447106"/>
    <w:rsid w:val="004A2DDF"/>
    <w:rsid w:val="004A735D"/>
    <w:rsid w:val="004C5232"/>
    <w:rsid w:val="00520997"/>
    <w:rsid w:val="0052784F"/>
    <w:rsid w:val="005632DF"/>
    <w:rsid w:val="005754AC"/>
    <w:rsid w:val="005825A6"/>
    <w:rsid w:val="005D2A97"/>
    <w:rsid w:val="00614ECF"/>
    <w:rsid w:val="006201B0"/>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7C5C31"/>
    <w:rsid w:val="008102C0"/>
    <w:rsid w:val="008178CB"/>
    <w:rsid w:val="008540BF"/>
    <w:rsid w:val="008A436B"/>
    <w:rsid w:val="008C7425"/>
    <w:rsid w:val="00926932"/>
    <w:rsid w:val="00945F78"/>
    <w:rsid w:val="0094701C"/>
    <w:rsid w:val="00962449"/>
    <w:rsid w:val="00962FED"/>
    <w:rsid w:val="0098116E"/>
    <w:rsid w:val="00983C80"/>
    <w:rsid w:val="009B7F61"/>
    <w:rsid w:val="00A17D20"/>
    <w:rsid w:val="00A526A1"/>
    <w:rsid w:val="00A626E9"/>
    <w:rsid w:val="00A74D4D"/>
    <w:rsid w:val="00A9216A"/>
    <w:rsid w:val="00AD3E67"/>
    <w:rsid w:val="00AE25D8"/>
    <w:rsid w:val="00B50C24"/>
    <w:rsid w:val="00B52CF6"/>
    <w:rsid w:val="00B93543"/>
    <w:rsid w:val="00C00489"/>
    <w:rsid w:val="00C0790F"/>
    <w:rsid w:val="00C405D8"/>
    <w:rsid w:val="00C65763"/>
    <w:rsid w:val="00CA5792"/>
    <w:rsid w:val="00D34373"/>
    <w:rsid w:val="00DA658C"/>
    <w:rsid w:val="00DF4F72"/>
    <w:rsid w:val="00E12CB1"/>
    <w:rsid w:val="00E35F76"/>
    <w:rsid w:val="00EA1885"/>
    <w:rsid w:val="00EA58FA"/>
    <w:rsid w:val="00EB5538"/>
    <w:rsid w:val="00EF079B"/>
    <w:rsid w:val="00F073C8"/>
    <w:rsid w:val="00F36524"/>
    <w:rsid w:val="00F419BA"/>
    <w:rsid w:val="00F50DE6"/>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hyperlink" Target="mailto:paula.ramsey@westerntrust.hscni.net" TargetMode="External"/><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a.ramsey@westerntrust.hscni.net"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48326-0FF7-41AE-914A-21574291B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caitcac8@gmail.com</cp:lastModifiedBy>
  <cp:revision>2</cp:revision>
  <dcterms:created xsi:type="dcterms:W3CDTF">2022-05-10T13:20:00Z</dcterms:created>
  <dcterms:modified xsi:type="dcterms:W3CDTF">2022-05-10T13:20:00Z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